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EB565">
      <w:pPr>
        <w:pStyle w:val="2"/>
        <w:spacing w:line="360" w:lineRule="auto"/>
        <w:jc w:val="center"/>
        <w:rPr>
          <w:color w:val="000000"/>
          <w:sz w:val="32"/>
          <w:szCs w:val="32"/>
        </w:rPr>
      </w:pPr>
      <w:r>
        <w:rPr>
          <w:b/>
          <w:bCs/>
          <w:color w:val="000000"/>
          <w:sz w:val="32"/>
          <w:szCs w:val="32"/>
        </w:rPr>
        <w:t>海南师范大学美食、营养与健康</w:t>
      </w:r>
      <w:r>
        <w:rPr>
          <w:rStyle w:val="5"/>
          <w:color w:val="000000"/>
          <w:sz w:val="32"/>
          <w:szCs w:val="32"/>
        </w:rPr>
        <w:t>微专业招生简章</w:t>
      </w:r>
    </w:p>
    <w:p w14:paraId="149BA971">
      <w:pPr>
        <w:spacing w:line="360" w:lineRule="auto"/>
        <w:ind w:firstLine="480" w:firstLineChars="200"/>
        <w:rPr>
          <w:rFonts w:ascii="宋体" w:hAnsi="宋体" w:eastAsia="宋体"/>
          <w:sz w:val="24"/>
        </w:rPr>
      </w:pPr>
      <w:r>
        <w:rPr>
          <w:rFonts w:ascii="宋体" w:hAnsi="宋体" w:eastAsia="宋体"/>
          <w:sz w:val="24"/>
        </w:rPr>
        <w:t>“美食、营养与健康”是由海南师范大学旅游学院牵头建设经海南师范大学教务处批准设立的</w:t>
      </w:r>
      <w:r>
        <w:rPr>
          <w:rFonts w:hint="eastAsia" w:ascii="宋体" w:hAnsi="宋体" w:eastAsia="宋体"/>
          <w:sz w:val="24"/>
        </w:rPr>
        <w:t>微专业课程</w:t>
      </w:r>
      <w:r>
        <w:rPr>
          <w:rFonts w:ascii="宋体" w:hAnsi="宋体" w:eastAsia="宋体"/>
          <w:sz w:val="24"/>
        </w:rPr>
        <w:t>。该微专业依托</w:t>
      </w:r>
      <w:r>
        <w:rPr>
          <w:rFonts w:hint="eastAsia" w:ascii="宋体" w:hAnsi="宋体" w:eastAsia="宋体"/>
          <w:sz w:val="24"/>
        </w:rPr>
        <w:t>国家一流本科专业</w:t>
      </w:r>
      <w:r>
        <w:rPr>
          <w:rFonts w:ascii="宋体" w:hAnsi="宋体" w:eastAsia="宋体"/>
          <w:sz w:val="24"/>
        </w:rPr>
        <w:t>“旅游管理”及“酒店管理”专业优势，深度融合食品营养学、健康管理学与旅游服务创新，培养兼具美食文化素养、科学营养理念及健康服务能力的复合型人才。学生将系统</w:t>
      </w:r>
      <w:r>
        <w:rPr>
          <w:rFonts w:hint="eastAsia" w:ascii="宋体" w:hAnsi="宋体" w:eastAsia="宋体"/>
          <w:sz w:val="24"/>
          <w:lang w:val="en-US" w:eastAsia="zh-CN"/>
        </w:rPr>
        <w:t>学习</w:t>
      </w:r>
      <w:r>
        <w:rPr>
          <w:rFonts w:ascii="宋体" w:hAnsi="宋体" w:eastAsia="宋体"/>
          <w:sz w:val="24"/>
        </w:rPr>
        <w:t>营养与食品基础、健康饮食设计、美食文化传播、健康管理服务等核心知识与实践技能，能够胜任餐饮企业营养配餐、健康教育推广、食品文化创新传播等相关领域的策划、管理与服务工作。</w:t>
      </w:r>
    </w:p>
    <w:p w14:paraId="462C7109">
      <w:pPr>
        <w:spacing w:line="360" w:lineRule="auto"/>
        <w:ind w:firstLine="480" w:firstLineChars="200"/>
        <w:rPr>
          <w:rFonts w:hint="eastAsia" w:ascii="宋体" w:hAnsi="宋体" w:eastAsia="宋体"/>
          <w:sz w:val="24"/>
          <w:lang w:eastAsia="zh-CN"/>
        </w:rPr>
      </w:pPr>
      <w:r>
        <w:rPr>
          <w:rFonts w:ascii="宋体" w:hAnsi="宋体" w:eastAsia="宋体"/>
          <w:sz w:val="24"/>
        </w:rPr>
        <w:t>“美食、营养与健康”微专业欢迎</w:t>
      </w:r>
      <w:r>
        <w:rPr>
          <w:rFonts w:hint="eastAsia" w:ascii="宋体" w:hAnsi="宋体" w:eastAsia="宋体"/>
          <w:sz w:val="24"/>
          <w:lang w:val="en-US" w:eastAsia="zh-CN"/>
        </w:rPr>
        <w:t>2021级</w:t>
      </w:r>
      <w:r>
        <w:rPr>
          <w:rFonts w:ascii="宋体" w:hAnsi="宋体" w:eastAsia="宋体"/>
          <w:sz w:val="24"/>
        </w:rPr>
        <w:t>各位同学积极报名！现将相关情况公告如下</w:t>
      </w:r>
      <w:r>
        <w:rPr>
          <w:rFonts w:hint="eastAsia" w:ascii="宋体" w:hAnsi="宋体" w:eastAsia="宋体"/>
          <w:sz w:val="24"/>
          <w:lang w:eastAsia="zh-CN"/>
        </w:rPr>
        <w:t>：</w:t>
      </w:r>
    </w:p>
    <w:p w14:paraId="4B3E39F3">
      <w:pPr>
        <w:spacing w:line="360" w:lineRule="auto"/>
        <w:ind w:firstLine="482" w:firstLineChars="200"/>
        <w:rPr>
          <w:rFonts w:ascii="宋体" w:hAnsi="宋体" w:eastAsia="宋体"/>
          <w:b/>
          <w:bCs/>
          <w:sz w:val="24"/>
        </w:rPr>
      </w:pPr>
      <w:r>
        <w:rPr>
          <w:rFonts w:ascii="宋体" w:hAnsi="宋体" w:eastAsia="宋体"/>
          <w:b/>
          <w:bCs/>
          <w:sz w:val="24"/>
        </w:rPr>
        <w:t>一、为什么要设立？</w:t>
      </w:r>
    </w:p>
    <w:p w14:paraId="45441793">
      <w:pPr>
        <w:spacing w:line="360" w:lineRule="auto"/>
        <w:ind w:firstLine="482" w:firstLineChars="200"/>
        <w:rPr>
          <w:rFonts w:ascii="宋体" w:hAnsi="宋体" w:eastAsia="宋体"/>
          <w:b/>
          <w:bCs/>
          <w:sz w:val="24"/>
        </w:rPr>
      </w:pPr>
      <w:r>
        <w:rPr>
          <w:rFonts w:ascii="宋体" w:hAnsi="宋体" w:eastAsia="宋体"/>
          <w:b/>
          <w:bCs/>
          <w:sz w:val="24"/>
        </w:rPr>
        <w:t>（一）服务国家“健康中国”战略与食品产业升级的需要</w:t>
      </w:r>
    </w:p>
    <w:p w14:paraId="56043A75">
      <w:pPr>
        <w:spacing w:line="360" w:lineRule="auto"/>
        <w:ind w:firstLine="480" w:firstLineChars="200"/>
        <w:jc w:val="left"/>
        <w:rPr>
          <w:rFonts w:ascii="宋体" w:hAnsi="宋体" w:eastAsia="宋体"/>
          <w:sz w:val="24"/>
        </w:rPr>
      </w:pPr>
      <w:r>
        <w:rPr>
          <w:rFonts w:ascii="宋体" w:hAnsi="宋体" w:eastAsia="宋体"/>
          <w:sz w:val="24"/>
        </w:rPr>
        <w:t>“美食、营养与健康”微专业的设立紧扣新时代“健康中国”战略与“教育强国”战略的发展方向，积极响应国家全面推进全民健康的政策号召。自《“健康中国2030”规划纲要》发布以来，国家在制度设计、人才培养、营养科普与慢病防控等方面持续发力，全面提升国民健康水平。</w:t>
      </w:r>
      <w:r>
        <w:rPr>
          <w:rFonts w:hint="eastAsia" w:ascii="宋体" w:hAnsi="宋体" w:eastAsia="宋体"/>
          <w:sz w:val="24"/>
        </w:rPr>
        <w:t>国务院</w:t>
      </w:r>
      <w:r>
        <w:rPr>
          <w:rFonts w:ascii="宋体" w:hAnsi="宋体" w:eastAsia="宋体"/>
          <w:sz w:val="24"/>
        </w:rPr>
        <w:t>发布的《国民营养计划（2017—2030年）》</w:t>
      </w:r>
      <w:r>
        <w:rPr>
          <w:rFonts w:hint="eastAsia" w:ascii="宋体" w:hAnsi="宋体" w:eastAsia="宋体"/>
          <w:sz w:val="24"/>
        </w:rPr>
        <w:t>中也</w:t>
      </w:r>
      <w:r>
        <w:rPr>
          <w:rFonts w:ascii="宋体" w:hAnsi="宋体" w:eastAsia="宋体"/>
          <w:sz w:val="24"/>
        </w:rPr>
        <w:t>明确提出要“强化营养人才培养”。在国家政策持续引导与健康产业转型升级的双重背景下，高校</w:t>
      </w:r>
      <w:r>
        <w:rPr>
          <w:rFonts w:hint="eastAsia" w:ascii="宋体" w:hAnsi="宋体" w:eastAsia="宋体"/>
          <w:sz w:val="24"/>
          <w:lang w:eastAsia="zh-CN"/>
        </w:rPr>
        <w:t>亟须培养</w:t>
      </w:r>
      <w:r>
        <w:rPr>
          <w:rFonts w:ascii="宋体" w:hAnsi="宋体" w:eastAsia="宋体"/>
          <w:sz w:val="24"/>
        </w:rPr>
        <w:t>兼具美食素养与营养健康知识的应用型人才，以服务国家战略需求，助力公共健康治理体系的现代化建设。</w:t>
      </w:r>
      <w:r>
        <w:rPr>
          <w:rFonts w:hint="eastAsia" w:ascii="宋体" w:hAnsi="宋体" w:eastAsia="宋体"/>
          <w:sz w:val="24"/>
        </w:rPr>
        <w:drawing>
          <wp:inline distT="0" distB="0" distL="0" distR="0">
            <wp:extent cx="4848860" cy="23482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14483" cy="2380349"/>
                    </a:xfrm>
                    <a:prstGeom prst="rect">
                      <a:avLst/>
                    </a:prstGeom>
                  </pic:spPr>
                </pic:pic>
              </a:graphicData>
            </a:graphic>
          </wp:inline>
        </w:drawing>
      </w:r>
    </w:p>
    <w:p w14:paraId="77EFDF90">
      <w:pPr>
        <w:spacing w:line="360" w:lineRule="auto"/>
        <w:ind w:firstLine="482" w:firstLineChars="200"/>
        <w:rPr>
          <w:rFonts w:ascii="宋体" w:hAnsi="宋体" w:eastAsia="宋体"/>
          <w:b/>
          <w:bCs/>
          <w:sz w:val="24"/>
        </w:rPr>
      </w:pPr>
      <w:r>
        <w:rPr>
          <w:rFonts w:ascii="宋体" w:hAnsi="宋体" w:eastAsia="宋体"/>
          <w:b/>
          <w:bCs/>
          <w:sz w:val="24"/>
        </w:rPr>
        <w:t>（二）推动“新文科”教育的需要</w:t>
      </w:r>
    </w:p>
    <w:p w14:paraId="4D6B79DF">
      <w:pPr>
        <w:spacing w:line="360" w:lineRule="auto"/>
        <w:ind w:firstLine="480" w:firstLineChars="200"/>
        <w:rPr>
          <w:rFonts w:ascii="宋体" w:hAnsi="宋体" w:eastAsia="宋体"/>
          <w:sz w:val="24"/>
        </w:rPr>
      </w:pPr>
      <w:r>
        <w:rPr>
          <w:rFonts w:ascii="宋体" w:hAnsi="宋体" w:eastAsia="宋体"/>
          <w:sz w:val="24"/>
        </w:rPr>
        <w:t>随着素质教育深化与大消费背景下健康生活理念的普及，营养健康教育日益从专业领域走向大众生活。旅游、酒店、教育、康养等服务行业正加快与营养学、美食文化、健康传播等领域的融合创新。“美食、营养与健康”微专业聚焦健康生活方式的构建与传播，既符合高校推动复合型人才培养与学科交叉融合的趋势，也呼应旅游与餐饮行业日益增长的健康化转型需求。通过引导学生理解美食背后的文化逻辑、营养科学原理和健康管理方法，推动从“吃得饱”到“吃得好、吃得健康”的理念转变，实现教育服务社会、服务生活方式变革的价值落地。</w:t>
      </w:r>
    </w:p>
    <w:p w14:paraId="56B918A9">
      <w:pPr>
        <w:spacing w:line="360" w:lineRule="auto"/>
        <w:ind w:firstLine="482" w:firstLineChars="200"/>
        <w:rPr>
          <w:rFonts w:ascii="宋体" w:hAnsi="宋体" w:eastAsia="宋体"/>
          <w:b/>
          <w:bCs/>
          <w:sz w:val="24"/>
        </w:rPr>
      </w:pPr>
      <w:r>
        <w:rPr>
          <w:rFonts w:ascii="宋体" w:hAnsi="宋体" w:eastAsia="宋体"/>
          <w:b/>
          <w:bCs/>
          <w:sz w:val="24"/>
        </w:rPr>
        <w:drawing>
          <wp:inline distT="0" distB="0" distL="0" distR="0">
            <wp:extent cx="5274310" cy="25215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82118" cy="2525552"/>
                    </a:xfrm>
                    <a:prstGeom prst="rect">
                      <a:avLst/>
                    </a:prstGeom>
                  </pic:spPr>
                </pic:pic>
              </a:graphicData>
            </a:graphic>
          </wp:inline>
        </w:drawing>
      </w:r>
    </w:p>
    <w:p w14:paraId="087CD920">
      <w:pPr>
        <w:spacing w:line="360" w:lineRule="auto"/>
        <w:ind w:firstLine="482" w:firstLineChars="200"/>
        <w:rPr>
          <w:rFonts w:ascii="宋体" w:hAnsi="宋体" w:eastAsia="宋体"/>
          <w:b/>
          <w:bCs/>
          <w:sz w:val="24"/>
        </w:rPr>
      </w:pPr>
      <w:r>
        <w:rPr>
          <w:rFonts w:hint="eastAsia" w:ascii="宋体" w:hAnsi="宋体" w:eastAsia="宋体"/>
          <w:b/>
          <w:bCs/>
          <w:sz w:val="24"/>
        </w:rPr>
        <w:t>（</w:t>
      </w:r>
      <w:r>
        <w:rPr>
          <w:rFonts w:ascii="宋体" w:hAnsi="宋体" w:eastAsia="宋体"/>
          <w:b/>
          <w:bCs/>
          <w:sz w:val="24"/>
        </w:rPr>
        <w:t>三</w:t>
      </w:r>
      <w:r>
        <w:rPr>
          <w:rFonts w:hint="eastAsia" w:ascii="宋体" w:hAnsi="宋体" w:eastAsia="宋体"/>
          <w:b/>
          <w:bCs/>
          <w:sz w:val="24"/>
        </w:rPr>
        <w:t>）</w:t>
      </w:r>
      <w:r>
        <w:rPr>
          <w:rFonts w:ascii="宋体" w:hAnsi="宋体" w:eastAsia="宋体"/>
          <w:b/>
          <w:bCs/>
          <w:sz w:val="24"/>
        </w:rPr>
        <w:t>赋能海南自贸港健康旅游的需要</w:t>
      </w:r>
    </w:p>
    <w:p w14:paraId="6AB58D63">
      <w:pPr>
        <w:spacing w:line="360" w:lineRule="auto"/>
        <w:ind w:firstLine="480" w:firstLineChars="200"/>
        <w:rPr>
          <w:rFonts w:ascii="宋体" w:hAnsi="宋体" w:eastAsia="宋体"/>
          <w:sz w:val="24"/>
        </w:rPr>
      </w:pPr>
      <w:r>
        <w:rPr>
          <w:rFonts w:ascii="宋体" w:hAnsi="宋体" w:eastAsia="宋体"/>
          <w:sz w:val="24"/>
        </w:rPr>
        <w:t>海南作为中国自由贸易港建设的核心区和国际旅游消费中心，其在发展健康服务、康养旅游、绿色生活等领域具有得天独厚的资源和政策优势。近年来，海南</w:t>
      </w:r>
      <w:r>
        <w:rPr>
          <w:rFonts w:hint="eastAsia" w:ascii="宋体" w:hAnsi="宋体" w:eastAsia="宋体"/>
          <w:sz w:val="24"/>
          <w:lang w:eastAsia="zh-CN"/>
        </w:rPr>
        <w:t>省委、省政府</w:t>
      </w:r>
      <w:r>
        <w:rPr>
          <w:rFonts w:ascii="宋体" w:hAnsi="宋体" w:eastAsia="宋体"/>
          <w:sz w:val="24"/>
        </w:rPr>
        <w:t>出台《健康海南2030规划纲要》《海南省“十四五”卫生与健康规划》等重要政策文件，明确提出大力发展健康餐饮、康养旅游、健康教育等新兴服务业态。然而，当前海南在健康饮食普及、营养指导服务供给、康养旅游产品创新等方面仍存在人才储备不足、专业体系不健全、产业融合度不高等问题。设立“美食、营养与健康”微专业，正是响应自贸港高质量发展战略的积极举措，为海南旅游、酒店与健康服务产业提供专业化、复合型的智力支持与人才保障。</w:t>
      </w:r>
    </w:p>
    <w:p w14:paraId="17FAF46E">
      <w:pPr>
        <w:spacing w:line="360" w:lineRule="auto"/>
        <w:ind w:firstLine="480" w:firstLineChars="200"/>
        <w:rPr>
          <w:rFonts w:ascii="宋体" w:hAnsi="宋体" w:eastAsia="宋体"/>
          <w:sz w:val="24"/>
        </w:rPr>
      </w:pPr>
      <w:r>
        <w:rPr>
          <w:rFonts w:ascii="宋体" w:hAnsi="宋体" w:eastAsia="宋体"/>
          <w:sz w:val="24"/>
        </w:rPr>
        <w:drawing>
          <wp:inline distT="0" distB="0" distL="0" distR="0">
            <wp:extent cx="4801870" cy="2329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7064" cy="2346250"/>
                    </a:xfrm>
                    <a:prstGeom prst="rect">
                      <a:avLst/>
                    </a:prstGeom>
                  </pic:spPr>
                </pic:pic>
              </a:graphicData>
            </a:graphic>
          </wp:inline>
        </w:drawing>
      </w:r>
    </w:p>
    <w:p w14:paraId="339CC1AF">
      <w:pPr>
        <w:spacing w:line="360" w:lineRule="auto"/>
        <w:ind w:firstLine="482" w:firstLineChars="200"/>
        <w:rPr>
          <w:rFonts w:ascii="宋体" w:hAnsi="宋体" w:eastAsia="宋体"/>
          <w:b/>
          <w:bCs/>
          <w:sz w:val="24"/>
        </w:rPr>
      </w:pPr>
    </w:p>
    <w:p w14:paraId="071F32CD">
      <w:pPr>
        <w:spacing w:line="360" w:lineRule="auto"/>
        <w:ind w:firstLine="482" w:firstLineChars="200"/>
        <w:rPr>
          <w:rFonts w:ascii="宋体" w:hAnsi="宋体" w:eastAsia="宋体"/>
          <w:b/>
          <w:bCs/>
          <w:sz w:val="24"/>
        </w:rPr>
      </w:pPr>
      <w:r>
        <w:rPr>
          <w:rFonts w:hint="eastAsia" w:ascii="宋体" w:hAnsi="宋体" w:eastAsia="宋体"/>
          <w:b/>
          <w:bCs/>
          <w:sz w:val="24"/>
        </w:rPr>
        <w:t>二、要实现哪些培养目标</w:t>
      </w:r>
    </w:p>
    <w:p w14:paraId="5DE6547F">
      <w:pPr>
        <w:spacing w:line="360" w:lineRule="auto"/>
        <w:ind w:firstLine="482" w:firstLineChars="200"/>
        <w:rPr>
          <w:rFonts w:ascii="宋体" w:hAnsi="宋体" w:eastAsia="宋体"/>
          <w:b/>
          <w:bCs/>
          <w:sz w:val="24"/>
        </w:rPr>
      </w:pPr>
      <w:r>
        <w:rPr>
          <w:rFonts w:ascii="宋体" w:hAnsi="宋体" w:eastAsia="宋体"/>
          <w:b/>
          <w:bCs/>
          <w:sz w:val="24"/>
        </w:rPr>
        <w:t>（一）我们的培养目标</w:t>
      </w:r>
    </w:p>
    <w:p w14:paraId="2BE32B64">
      <w:pPr>
        <w:spacing w:line="360" w:lineRule="auto"/>
        <w:ind w:firstLine="480" w:firstLineChars="200"/>
        <w:rPr>
          <w:rFonts w:ascii="宋体" w:hAnsi="宋体" w:eastAsia="宋体"/>
          <w:sz w:val="24"/>
        </w:rPr>
      </w:pPr>
      <w:r>
        <w:rPr>
          <w:rFonts w:ascii="宋体" w:hAnsi="宋体" w:eastAsia="宋体"/>
          <w:sz w:val="24"/>
        </w:rPr>
        <w:t>“美食、营养与健康”微专业面向新时代健康中国和教育强国战略，依托旅游学院酒店管理系的学科优势，培养具备良好道德素养、系统营养知识、跨学科思维能力和健康传播能力的复合型人才。学生将系统掌握食品科学、营养学、健康管理等相关理论知识，了解现代酒店服务、康养旅游等产业的融合发展趋势，具备开展健康饮食教育、健康产品策划及健康生活方式推广的综合能力。毕业生将胜任健康传播、营养服务、康养运营、膳食指导等多个领域的岗位，具备在多元场景中开展实务操作和跨界合作的能力。</w:t>
      </w:r>
    </w:p>
    <w:p w14:paraId="532A512B">
      <w:pPr>
        <w:spacing w:line="360" w:lineRule="auto"/>
        <w:ind w:firstLine="480" w:firstLineChars="200"/>
        <w:rPr>
          <w:rFonts w:ascii="宋体" w:hAnsi="宋体" w:eastAsia="宋体"/>
          <w:sz w:val="24"/>
        </w:rPr>
      </w:pPr>
      <w:r>
        <w:rPr>
          <w:rFonts w:ascii="宋体" w:hAnsi="宋体" w:eastAsia="宋体"/>
          <w:sz w:val="24"/>
        </w:rPr>
        <w:t>本专业学生毕业预期能达到：</w:t>
      </w:r>
    </w:p>
    <w:p w14:paraId="48CD6714">
      <w:pPr>
        <w:spacing w:line="360" w:lineRule="auto"/>
        <w:ind w:firstLine="482" w:firstLineChars="200"/>
        <w:rPr>
          <w:rFonts w:ascii="宋体" w:hAnsi="宋体" w:eastAsia="宋体"/>
          <w:sz w:val="24"/>
        </w:rPr>
      </w:pPr>
      <w:r>
        <w:rPr>
          <w:rFonts w:ascii="宋体" w:hAnsi="宋体" w:eastAsia="宋体"/>
          <w:b/>
          <w:bCs/>
          <w:sz w:val="24"/>
        </w:rPr>
        <w:t xml:space="preserve">目标1： </w:t>
      </w:r>
      <w:r>
        <w:rPr>
          <w:rFonts w:ascii="宋体" w:hAnsi="宋体" w:eastAsia="宋体"/>
          <w:sz w:val="24"/>
        </w:rPr>
        <w:t>培养具有社会主义核心价值观、良好道德品质与职业操守的人才，强化健康服务的社会责任意识，树立以人民健康为中心的服务理念，具备良好的人文素养和审美能力。</w:t>
      </w:r>
    </w:p>
    <w:p w14:paraId="74255147">
      <w:pPr>
        <w:spacing w:line="360" w:lineRule="auto"/>
        <w:ind w:firstLine="482" w:firstLineChars="200"/>
        <w:rPr>
          <w:rFonts w:ascii="宋体" w:hAnsi="宋体" w:eastAsia="宋体"/>
          <w:sz w:val="24"/>
        </w:rPr>
      </w:pPr>
      <w:r>
        <w:rPr>
          <w:rFonts w:ascii="宋体" w:hAnsi="宋体" w:eastAsia="宋体"/>
          <w:b/>
          <w:bCs/>
          <w:sz w:val="24"/>
        </w:rPr>
        <w:t>目标2：</w:t>
      </w:r>
      <w:r>
        <w:rPr>
          <w:rFonts w:ascii="宋体" w:hAnsi="宋体" w:eastAsia="宋体"/>
          <w:sz w:val="24"/>
        </w:rPr>
        <w:t xml:space="preserve"> 培养系统掌握营养学基础理论、食品安全知识、餐饮健康设计、膳食评估方法等专业知识的人才，能够熟练运用营养分析工具和干预策略，解决现实生活中的营养与健康问题。</w:t>
      </w:r>
    </w:p>
    <w:p w14:paraId="1DB6AAC5">
      <w:pPr>
        <w:spacing w:line="360" w:lineRule="auto"/>
        <w:ind w:firstLine="482" w:firstLineChars="200"/>
        <w:rPr>
          <w:rFonts w:ascii="宋体" w:hAnsi="宋体" w:eastAsia="宋体"/>
          <w:sz w:val="24"/>
        </w:rPr>
      </w:pPr>
      <w:r>
        <w:rPr>
          <w:rFonts w:ascii="宋体" w:hAnsi="宋体" w:eastAsia="宋体"/>
          <w:b/>
          <w:bCs/>
          <w:sz w:val="24"/>
        </w:rPr>
        <w:t xml:space="preserve">目标3： </w:t>
      </w:r>
      <w:r>
        <w:rPr>
          <w:rFonts w:ascii="宋体" w:hAnsi="宋体" w:eastAsia="宋体"/>
          <w:sz w:val="24"/>
        </w:rPr>
        <w:t>强调学生的实践能力与创新精神，通过案例研究、食育课程开发、健康主题活动策划等教学环节，提升其在健康传播、营养指导和食品文化推广方面的综合实践与创新能力。</w:t>
      </w:r>
    </w:p>
    <w:p w14:paraId="76E5D056">
      <w:pPr>
        <w:spacing w:line="360" w:lineRule="auto"/>
        <w:ind w:firstLine="482" w:firstLineChars="200"/>
        <w:rPr>
          <w:rFonts w:ascii="宋体" w:hAnsi="宋体" w:eastAsia="宋体"/>
          <w:sz w:val="24"/>
        </w:rPr>
      </w:pPr>
      <w:r>
        <w:rPr>
          <w:rFonts w:ascii="宋体" w:hAnsi="宋体" w:eastAsia="宋体"/>
          <w:b/>
          <w:bCs/>
          <w:sz w:val="24"/>
        </w:rPr>
        <w:t>目标4：</w:t>
      </w:r>
      <w:r>
        <w:rPr>
          <w:rFonts w:ascii="宋体" w:hAnsi="宋体" w:eastAsia="宋体"/>
          <w:sz w:val="24"/>
        </w:rPr>
        <w:t xml:space="preserve"> 培养学生的职业认同感与团队协作精神，具备跨学科沟通、项目协作和组织管理能力，能够胜任酒店、学校、社区、康养机构、文旅企业等多元场景下的营养健康服务和管理工作。</w:t>
      </w:r>
    </w:p>
    <w:p w14:paraId="7B097127">
      <w:pPr>
        <w:spacing w:line="360" w:lineRule="auto"/>
        <w:ind w:firstLine="482" w:firstLineChars="200"/>
        <w:rPr>
          <w:rFonts w:ascii="宋体" w:hAnsi="宋体" w:eastAsia="宋体"/>
          <w:b/>
          <w:bCs/>
          <w:sz w:val="24"/>
        </w:rPr>
      </w:pPr>
      <w:r>
        <w:rPr>
          <w:rFonts w:ascii="宋体" w:hAnsi="宋体" w:eastAsia="宋体"/>
          <w:b/>
          <w:bCs/>
          <w:sz w:val="24"/>
        </w:rPr>
        <w:t>（二）我们的学业要求</w:t>
      </w:r>
    </w:p>
    <w:p w14:paraId="041A105F">
      <w:pPr>
        <w:spacing w:line="360" w:lineRule="auto"/>
        <w:ind w:firstLine="482" w:firstLineChars="200"/>
        <w:rPr>
          <w:rFonts w:ascii="宋体" w:hAnsi="宋体" w:eastAsia="宋体"/>
          <w:sz w:val="24"/>
        </w:rPr>
      </w:pPr>
      <w:r>
        <w:rPr>
          <w:rFonts w:ascii="宋体" w:hAnsi="宋体" w:eastAsia="宋体"/>
          <w:b/>
          <w:bCs/>
          <w:sz w:val="24"/>
        </w:rPr>
        <w:t>知识</w:t>
      </w:r>
      <w:r>
        <w:rPr>
          <w:rFonts w:hint="eastAsia" w:ascii="宋体" w:hAnsi="宋体" w:eastAsia="宋体"/>
          <w:b/>
          <w:bCs/>
          <w:sz w:val="24"/>
        </w:rPr>
        <w:t>要求</w:t>
      </w:r>
      <w:r>
        <w:rPr>
          <w:rFonts w:ascii="宋体" w:hAnsi="宋体" w:eastAsia="宋体"/>
          <w:b/>
          <w:bCs/>
          <w:sz w:val="24"/>
        </w:rPr>
        <w:t>：</w:t>
      </w:r>
      <w:r>
        <w:rPr>
          <w:rFonts w:hint="eastAsia" w:ascii="宋体" w:hAnsi="宋体" w:eastAsia="宋体"/>
          <w:sz w:val="24"/>
        </w:rPr>
        <w:t>（1）</w:t>
      </w:r>
      <w:r>
        <w:rPr>
          <w:rFonts w:ascii="宋体" w:hAnsi="宋体" w:eastAsia="宋体"/>
          <w:sz w:val="24"/>
        </w:rPr>
        <w:t>掌握咖啡、茶艺等特色餐饮产品的制作技艺与文化内涵</w:t>
      </w:r>
      <w:r>
        <w:rPr>
          <w:rFonts w:hint="eastAsia" w:ascii="宋体" w:hAnsi="宋体" w:eastAsia="宋体"/>
          <w:sz w:val="24"/>
        </w:rPr>
        <w:t>；（2）</w:t>
      </w:r>
      <w:r>
        <w:rPr>
          <w:rFonts w:ascii="宋体" w:hAnsi="宋体" w:eastAsia="宋体"/>
          <w:sz w:val="24"/>
        </w:rPr>
        <w:t>理解食品营养学基础理论及健康膳食设计原则</w:t>
      </w:r>
      <w:r>
        <w:rPr>
          <w:rFonts w:hint="eastAsia" w:ascii="宋体" w:hAnsi="宋体" w:eastAsia="宋体"/>
          <w:sz w:val="24"/>
        </w:rPr>
        <w:t>；（3）</w:t>
      </w:r>
      <w:r>
        <w:rPr>
          <w:rFonts w:ascii="宋体" w:hAnsi="宋体" w:eastAsia="宋体"/>
          <w:sz w:val="24"/>
        </w:rPr>
        <w:t>熟悉餐饮成本控制、服务流程优化等管理方法论</w:t>
      </w:r>
      <w:r>
        <w:rPr>
          <w:rFonts w:hint="eastAsia" w:ascii="宋体" w:hAnsi="宋体" w:eastAsia="宋体"/>
          <w:sz w:val="24"/>
        </w:rPr>
        <w:t>；（4）</w:t>
      </w:r>
      <w:r>
        <w:rPr>
          <w:rFonts w:ascii="宋体" w:hAnsi="宋体" w:eastAsia="宋体"/>
          <w:sz w:val="24"/>
        </w:rPr>
        <w:t>通晓中外饮食文化发展脉络与健康饮食传播策略</w:t>
      </w:r>
      <w:r>
        <w:rPr>
          <w:rFonts w:hint="eastAsia" w:ascii="宋体" w:hAnsi="宋体" w:eastAsia="宋体"/>
          <w:sz w:val="24"/>
        </w:rPr>
        <w:t>。</w:t>
      </w:r>
    </w:p>
    <w:p w14:paraId="358C85F1">
      <w:pPr>
        <w:spacing w:line="360" w:lineRule="auto"/>
        <w:ind w:firstLine="482" w:firstLineChars="200"/>
        <w:rPr>
          <w:rFonts w:ascii="宋体" w:hAnsi="宋体" w:eastAsia="宋体"/>
          <w:b/>
          <w:bCs/>
          <w:sz w:val="24"/>
        </w:rPr>
      </w:pPr>
      <w:r>
        <w:rPr>
          <w:rFonts w:ascii="宋体" w:hAnsi="宋体" w:eastAsia="宋体"/>
          <w:b/>
          <w:bCs/>
          <w:sz w:val="24"/>
        </w:rPr>
        <w:t>能力</w:t>
      </w:r>
      <w:r>
        <w:rPr>
          <w:rFonts w:hint="eastAsia" w:ascii="宋体" w:hAnsi="宋体" w:eastAsia="宋体"/>
          <w:b/>
          <w:bCs/>
          <w:sz w:val="24"/>
        </w:rPr>
        <w:t>要求</w:t>
      </w:r>
      <w:r>
        <w:rPr>
          <w:rFonts w:ascii="宋体" w:hAnsi="宋体" w:eastAsia="宋体"/>
          <w:b/>
          <w:bCs/>
          <w:sz w:val="24"/>
        </w:rPr>
        <w:t>：</w:t>
      </w:r>
      <w:r>
        <w:rPr>
          <w:rFonts w:hint="eastAsia" w:ascii="宋体" w:hAnsi="宋体" w:eastAsia="宋体"/>
          <w:sz w:val="24"/>
        </w:rPr>
        <w:t>（1）</w:t>
      </w:r>
      <w:r>
        <w:rPr>
          <w:rFonts w:ascii="宋体" w:hAnsi="宋体" w:eastAsia="宋体"/>
          <w:sz w:val="24"/>
        </w:rPr>
        <w:t>能完成健康餐饮产品研发与服务方案设计</w:t>
      </w:r>
      <w:r>
        <w:rPr>
          <w:rFonts w:hint="eastAsia" w:ascii="宋体" w:hAnsi="宋体" w:eastAsia="宋体"/>
          <w:sz w:val="24"/>
        </w:rPr>
        <w:t>；（2）</w:t>
      </w:r>
      <w:r>
        <w:rPr>
          <w:rFonts w:ascii="宋体" w:hAnsi="宋体" w:eastAsia="宋体"/>
          <w:sz w:val="24"/>
        </w:rPr>
        <w:t>具备营养标签解读、膳食风险评估等专业分析能力</w:t>
      </w:r>
      <w:r>
        <w:rPr>
          <w:rFonts w:hint="eastAsia" w:ascii="宋体" w:hAnsi="宋体" w:eastAsia="宋体"/>
          <w:sz w:val="24"/>
        </w:rPr>
        <w:t>；（3）</w:t>
      </w:r>
      <w:r>
        <w:rPr>
          <w:rFonts w:ascii="宋体" w:hAnsi="宋体" w:eastAsia="宋体"/>
          <w:sz w:val="24"/>
        </w:rPr>
        <w:t>掌握餐饮健康领域的学术研究方法与行业趋势研判</w:t>
      </w:r>
      <w:r>
        <w:rPr>
          <w:rFonts w:hint="eastAsia" w:ascii="宋体" w:hAnsi="宋体" w:eastAsia="宋体"/>
          <w:sz w:val="24"/>
        </w:rPr>
        <w:t>。</w:t>
      </w:r>
    </w:p>
    <w:p w14:paraId="057359A3">
      <w:pPr>
        <w:spacing w:line="360" w:lineRule="auto"/>
        <w:ind w:firstLine="482" w:firstLineChars="200"/>
        <w:rPr>
          <w:rFonts w:ascii="宋体" w:hAnsi="宋体" w:eastAsia="宋体"/>
          <w:sz w:val="24"/>
        </w:rPr>
      </w:pPr>
      <w:r>
        <w:rPr>
          <w:rFonts w:hint="eastAsia" w:ascii="宋体" w:hAnsi="宋体" w:eastAsia="宋体"/>
          <w:b/>
          <w:bCs/>
          <w:sz w:val="24"/>
        </w:rPr>
        <w:t>素质要求</w:t>
      </w:r>
      <w:r>
        <w:rPr>
          <w:rFonts w:ascii="宋体" w:hAnsi="宋体" w:eastAsia="宋体"/>
          <w:b/>
          <w:bCs/>
          <w:sz w:val="24"/>
        </w:rPr>
        <w:t>：</w:t>
      </w:r>
      <w:r>
        <w:rPr>
          <w:rFonts w:hint="eastAsia" w:ascii="宋体" w:hAnsi="宋体" w:eastAsia="宋体"/>
          <w:sz w:val="24"/>
        </w:rPr>
        <w:t>（1）</w:t>
      </w:r>
      <w:r>
        <w:rPr>
          <w:rFonts w:ascii="宋体" w:hAnsi="宋体" w:eastAsia="宋体"/>
          <w:sz w:val="24"/>
        </w:rPr>
        <w:t>树立食品安全与健康伦理责任意识</w:t>
      </w:r>
      <w:r>
        <w:rPr>
          <w:rFonts w:hint="eastAsia" w:ascii="宋体" w:hAnsi="宋体" w:eastAsia="宋体"/>
          <w:sz w:val="24"/>
        </w:rPr>
        <w:t>；（2）</w:t>
      </w:r>
      <w:r>
        <w:rPr>
          <w:rFonts w:ascii="宋体" w:hAnsi="宋体" w:eastAsia="宋体"/>
          <w:sz w:val="24"/>
        </w:rPr>
        <w:t>培养跨文化饮食审美与创新思维</w:t>
      </w:r>
      <w:r>
        <w:rPr>
          <w:rFonts w:hint="eastAsia" w:ascii="宋体" w:hAnsi="宋体" w:eastAsia="宋体"/>
          <w:sz w:val="24"/>
        </w:rPr>
        <w:t>；（3）</w:t>
      </w:r>
      <w:r>
        <w:rPr>
          <w:rFonts w:ascii="宋体" w:hAnsi="宋体" w:eastAsia="宋体"/>
          <w:sz w:val="24"/>
        </w:rPr>
        <w:t>形成服务大健康产业的可持续发展观</w:t>
      </w:r>
      <w:r>
        <w:rPr>
          <w:rFonts w:hint="eastAsia" w:ascii="宋体" w:hAnsi="宋体" w:eastAsia="宋体"/>
          <w:sz w:val="24"/>
        </w:rPr>
        <w:t>。</w:t>
      </w:r>
    </w:p>
    <w:p w14:paraId="0C03AA76">
      <w:pPr>
        <w:spacing w:line="360" w:lineRule="auto"/>
        <w:ind w:firstLine="482" w:firstLineChars="200"/>
        <w:rPr>
          <w:rFonts w:ascii="宋体" w:hAnsi="宋体" w:eastAsia="宋体"/>
          <w:b/>
          <w:bCs/>
          <w:sz w:val="24"/>
        </w:rPr>
      </w:pPr>
      <w:r>
        <w:rPr>
          <w:rFonts w:ascii="宋体" w:hAnsi="宋体" w:eastAsia="宋体"/>
          <w:b/>
          <w:bCs/>
          <w:sz w:val="24"/>
        </w:rPr>
        <w:t>三、有哪些学习内容？</w:t>
      </w:r>
    </w:p>
    <w:p w14:paraId="345BB9BF">
      <w:pPr>
        <w:spacing w:line="360" w:lineRule="auto"/>
        <w:ind w:firstLine="480" w:firstLineChars="200"/>
        <w:rPr>
          <w:rFonts w:ascii="宋体" w:hAnsi="宋体" w:eastAsia="宋体"/>
          <w:sz w:val="24"/>
        </w:rPr>
      </w:pPr>
      <w:r>
        <w:rPr>
          <w:rFonts w:ascii="宋体" w:hAnsi="宋体" w:eastAsia="宋体"/>
          <w:sz w:val="24"/>
        </w:rPr>
        <w:t>美食、营养与健康专业计划开设6门课程，确立</w:t>
      </w:r>
      <w:r>
        <w:rPr>
          <w:rFonts w:hint="eastAsia" w:ascii="宋体" w:hAnsi="宋体" w:eastAsia="宋体"/>
          <w:sz w:val="24"/>
        </w:rPr>
        <w:t>“</w:t>
      </w:r>
      <w:r>
        <w:rPr>
          <w:rFonts w:ascii="宋体" w:hAnsi="宋体" w:eastAsia="宋体"/>
          <w:sz w:val="24"/>
        </w:rPr>
        <w:t>技艺-管理-科学-文化</w:t>
      </w:r>
      <w:r>
        <w:rPr>
          <w:rFonts w:hint="eastAsia" w:ascii="宋体" w:hAnsi="宋体" w:eastAsia="宋体"/>
          <w:sz w:val="24"/>
        </w:rPr>
        <w:t>”</w:t>
      </w:r>
      <w:r>
        <w:rPr>
          <w:rFonts w:ascii="宋体" w:hAnsi="宋体" w:eastAsia="宋体"/>
          <w:sz w:val="24"/>
        </w:rPr>
        <w:t>的递进式教学体系，其具体规划如下：</w:t>
      </w:r>
    </w:p>
    <w:p w14:paraId="3DF1AF46">
      <w:pPr>
        <w:spacing w:line="360" w:lineRule="auto"/>
        <w:ind w:firstLine="482" w:firstLineChars="200"/>
        <w:rPr>
          <w:rFonts w:ascii="宋体" w:hAnsi="宋体" w:eastAsia="宋体"/>
          <w:sz w:val="24"/>
        </w:rPr>
      </w:pPr>
      <w:r>
        <w:rPr>
          <w:rFonts w:hint="eastAsia" w:ascii="宋体" w:hAnsi="宋体" w:eastAsia="宋体"/>
          <w:b/>
          <w:bCs/>
          <w:sz w:val="24"/>
        </w:rPr>
        <w:t>基础</w:t>
      </w:r>
      <w:r>
        <w:rPr>
          <w:rFonts w:ascii="宋体" w:hAnsi="宋体" w:eastAsia="宋体"/>
          <w:b/>
          <w:bCs/>
          <w:sz w:val="24"/>
        </w:rPr>
        <w:t>技艺</w:t>
      </w:r>
      <w:r>
        <w:rPr>
          <w:rFonts w:hint="eastAsia" w:ascii="宋体" w:hAnsi="宋体" w:eastAsia="宋体"/>
          <w:b/>
          <w:bCs/>
          <w:sz w:val="24"/>
        </w:rPr>
        <w:t>模块</w:t>
      </w:r>
      <w:r>
        <w:rPr>
          <w:rFonts w:ascii="宋体" w:hAnsi="宋体" w:eastAsia="宋体"/>
          <w:b/>
          <w:bCs/>
          <w:sz w:val="24"/>
        </w:rPr>
        <w:t>：</w:t>
      </w:r>
      <w:r>
        <w:rPr>
          <w:rFonts w:ascii="宋体" w:hAnsi="宋体" w:eastAsia="宋体"/>
          <w:sz w:val="24"/>
        </w:rPr>
        <w:t>设立《</w:t>
      </w:r>
      <w:r>
        <w:rPr>
          <w:rFonts w:hint="eastAsia" w:ascii="宋体" w:hAnsi="宋体" w:eastAsia="宋体"/>
          <w:sz w:val="24"/>
          <w:lang w:val="en-US" w:eastAsia="zh-CN"/>
        </w:rPr>
        <w:t>葡萄酒品鉴与</w:t>
      </w:r>
      <w:r>
        <w:rPr>
          <w:rFonts w:ascii="宋体" w:hAnsi="宋体" w:eastAsia="宋体"/>
          <w:sz w:val="24"/>
        </w:rPr>
        <w:t>咖啡调制技艺》和《茶道</w:t>
      </w:r>
      <w:r>
        <w:rPr>
          <w:rFonts w:hint="eastAsia" w:ascii="宋体" w:hAnsi="宋体" w:eastAsia="宋体"/>
          <w:sz w:val="24"/>
          <w:lang w:val="en-US" w:eastAsia="zh-CN"/>
        </w:rPr>
        <w:t>文化与</w:t>
      </w:r>
      <w:r>
        <w:rPr>
          <w:rFonts w:ascii="宋体" w:hAnsi="宋体" w:eastAsia="宋体"/>
          <w:sz w:val="24"/>
        </w:rPr>
        <w:t>茶</w:t>
      </w:r>
      <w:r>
        <w:rPr>
          <w:rFonts w:hint="eastAsia" w:ascii="宋体" w:hAnsi="宋体" w:eastAsia="宋体"/>
          <w:sz w:val="24"/>
          <w:lang w:val="en-US" w:eastAsia="zh-CN"/>
        </w:rPr>
        <w:t>艺</w:t>
      </w:r>
      <w:r>
        <w:rPr>
          <w:rFonts w:ascii="宋体" w:hAnsi="宋体" w:eastAsia="宋体"/>
          <w:sz w:val="24"/>
        </w:rPr>
        <w:t>》课程</w:t>
      </w:r>
      <w:r>
        <w:rPr>
          <w:rFonts w:hint="eastAsia" w:ascii="宋体" w:hAnsi="宋体" w:eastAsia="宋体"/>
          <w:sz w:val="24"/>
          <w:lang w:eastAsia="zh-CN"/>
        </w:rPr>
        <w:t>，</w:t>
      </w:r>
      <w:r>
        <w:rPr>
          <w:rFonts w:ascii="宋体" w:hAnsi="宋体" w:eastAsia="宋体"/>
          <w:sz w:val="24"/>
        </w:rPr>
        <w:t>培养特色餐饮产品制作能力，奠定服务创新基础。</w:t>
      </w:r>
    </w:p>
    <w:p w14:paraId="7BDDF6EE">
      <w:pPr>
        <w:spacing w:line="360" w:lineRule="auto"/>
        <w:ind w:firstLine="482" w:firstLineChars="200"/>
        <w:rPr>
          <w:rFonts w:ascii="宋体" w:hAnsi="宋体" w:eastAsia="宋体"/>
          <w:sz w:val="24"/>
        </w:rPr>
      </w:pPr>
      <w:r>
        <w:rPr>
          <w:rFonts w:ascii="宋体" w:hAnsi="宋体" w:eastAsia="宋体"/>
          <w:b/>
          <w:bCs/>
          <w:sz w:val="24"/>
        </w:rPr>
        <w:t>管理应用</w:t>
      </w:r>
      <w:r>
        <w:rPr>
          <w:rFonts w:hint="eastAsia" w:ascii="宋体" w:hAnsi="宋体" w:eastAsia="宋体"/>
          <w:b/>
          <w:bCs/>
          <w:sz w:val="24"/>
        </w:rPr>
        <w:t>模块</w:t>
      </w:r>
      <w:r>
        <w:rPr>
          <w:rFonts w:ascii="宋体" w:hAnsi="宋体" w:eastAsia="宋体"/>
          <w:b/>
          <w:bCs/>
          <w:sz w:val="24"/>
        </w:rPr>
        <w:t>：</w:t>
      </w:r>
      <w:r>
        <w:rPr>
          <w:rFonts w:ascii="宋体" w:hAnsi="宋体" w:eastAsia="宋体"/>
          <w:sz w:val="24"/>
        </w:rPr>
        <w:t>设立《健康餐饮服务设计》课程</w:t>
      </w:r>
      <w:r>
        <w:rPr>
          <w:rFonts w:hint="eastAsia" w:ascii="宋体" w:hAnsi="宋体" w:eastAsia="宋体"/>
          <w:sz w:val="24"/>
          <w:lang w:eastAsia="zh-CN"/>
        </w:rPr>
        <w:t>，</w:t>
      </w:r>
      <w:r>
        <w:rPr>
          <w:rFonts w:ascii="宋体" w:hAnsi="宋体" w:eastAsia="宋体"/>
          <w:sz w:val="24"/>
        </w:rPr>
        <w:t>聚焦服务流程优化与营养数据分析，提升运营管理能力。</w:t>
      </w:r>
    </w:p>
    <w:p w14:paraId="0D56F4E3">
      <w:pPr>
        <w:spacing w:line="360" w:lineRule="auto"/>
        <w:ind w:firstLine="482" w:firstLineChars="200"/>
        <w:rPr>
          <w:rFonts w:ascii="宋体" w:hAnsi="宋体" w:eastAsia="宋体"/>
          <w:sz w:val="24"/>
        </w:rPr>
      </w:pPr>
      <w:r>
        <w:rPr>
          <w:rFonts w:ascii="宋体" w:hAnsi="宋体" w:eastAsia="宋体"/>
          <w:b/>
          <w:bCs/>
          <w:sz w:val="24"/>
        </w:rPr>
        <w:t>科学支撑</w:t>
      </w:r>
      <w:r>
        <w:rPr>
          <w:rFonts w:hint="eastAsia" w:ascii="宋体" w:hAnsi="宋体" w:eastAsia="宋体"/>
          <w:b/>
          <w:bCs/>
          <w:sz w:val="24"/>
        </w:rPr>
        <w:t>模块</w:t>
      </w:r>
      <w:r>
        <w:rPr>
          <w:rFonts w:ascii="宋体" w:hAnsi="宋体" w:eastAsia="宋体"/>
          <w:b/>
          <w:bCs/>
          <w:sz w:val="24"/>
        </w:rPr>
        <w:t>：</w:t>
      </w:r>
      <w:r>
        <w:rPr>
          <w:rFonts w:ascii="宋体" w:hAnsi="宋体" w:eastAsia="宋体"/>
          <w:sz w:val="24"/>
        </w:rPr>
        <w:t>设立《现代食品营养学》课程</w:t>
      </w:r>
      <w:r>
        <w:rPr>
          <w:rFonts w:hint="eastAsia" w:ascii="宋体" w:hAnsi="宋体" w:eastAsia="宋体"/>
          <w:sz w:val="24"/>
          <w:lang w:eastAsia="zh-CN"/>
        </w:rPr>
        <w:t>，</w:t>
      </w:r>
      <w:r>
        <w:rPr>
          <w:rFonts w:ascii="宋体" w:hAnsi="宋体" w:eastAsia="宋体"/>
          <w:sz w:val="24"/>
        </w:rPr>
        <w:t>提供营养配餐、健康产品研发的理论与方法论支持。</w:t>
      </w:r>
    </w:p>
    <w:p w14:paraId="7014D06B">
      <w:pPr>
        <w:spacing w:line="360" w:lineRule="auto"/>
        <w:ind w:firstLine="482" w:firstLineChars="200"/>
        <w:rPr>
          <w:rFonts w:ascii="宋体" w:hAnsi="宋体" w:eastAsia="宋体"/>
          <w:sz w:val="24"/>
        </w:rPr>
      </w:pPr>
      <w:r>
        <w:rPr>
          <w:rFonts w:ascii="宋体" w:hAnsi="宋体" w:eastAsia="宋体"/>
          <w:b/>
          <w:bCs/>
          <w:sz w:val="24"/>
        </w:rPr>
        <w:t>文化创新</w:t>
      </w:r>
      <w:r>
        <w:rPr>
          <w:rFonts w:hint="eastAsia" w:ascii="宋体" w:hAnsi="宋体" w:eastAsia="宋体"/>
          <w:b/>
          <w:bCs/>
          <w:sz w:val="24"/>
        </w:rPr>
        <w:t>模块</w:t>
      </w:r>
      <w:r>
        <w:rPr>
          <w:rFonts w:ascii="宋体" w:hAnsi="宋体" w:eastAsia="宋体"/>
          <w:b/>
          <w:bCs/>
          <w:sz w:val="24"/>
        </w:rPr>
        <w:t>：</w:t>
      </w:r>
      <w:r>
        <w:rPr>
          <w:rFonts w:ascii="宋体" w:hAnsi="宋体" w:eastAsia="宋体"/>
          <w:sz w:val="24"/>
        </w:rPr>
        <w:t>设立《世界饮食文化比较》和《餐饮健康专题研究》课程：</w:t>
      </w:r>
      <w:r>
        <w:rPr>
          <w:rFonts w:hint="eastAsia" w:ascii="宋体" w:hAnsi="宋体" w:eastAsia="宋体"/>
          <w:sz w:val="24"/>
          <w:lang w:eastAsia="zh-CN"/>
        </w:rPr>
        <w:t>拓宽</w:t>
      </w:r>
      <w:r>
        <w:rPr>
          <w:rFonts w:ascii="宋体" w:hAnsi="宋体" w:eastAsia="宋体"/>
          <w:sz w:val="24"/>
        </w:rPr>
        <w:t>文化视野，驱动学术创新，共同提升产品文化附加值</w:t>
      </w:r>
      <w:r>
        <w:rPr>
          <w:rFonts w:hint="eastAsia" w:ascii="宋体" w:hAnsi="宋体" w:eastAsia="宋体"/>
          <w:sz w:val="24"/>
        </w:rPr>
        <w:t>。</w:t>
      </w:r>
    </w:p>
    <w:p w14:paraId="7689AA06">
      <w:pPr>
        <w:spacing w:line="360" w:lineRule="auto"/>
        <w:ind w:firstLine="480" w:firstLineChars="200"/>
        <w:rPr>
          <w:rFonts w:ascii="宋体" w:hAnsi="宋体" w:eastAsia="宋体"/>
          <w:sz w:val="24"/>
        </w:rPr>
      </w:pPr>
      <w:r>
        <w:rPr>
          <w:rFonts w:ascii="宋体" w:hAnsi="宋体" w:eastAsia="宋体"/>
          <w:sz w:val="24"/>
        </w:rPr>
        <w:t>本专业学生结业应修总学分共计1</w:t>
      </w:r>
      <w:r>
        <w:rPr>
          <w:rFonts w:hint="eastAsia" w:ascii="宋体" w:hAnsi="宋体" w:eastAsia="宋体"/>
          <w:sz w:val="24"/>
          <w:lang w:val="en-US" w:eastAsia="zh-CN"/>
        </w:rPr>
        <w:t>0</w:t>
      </w:r>
      <w:r>
        <w:rPr>
          <w:rFonts w:ascii="宋体" w:hAnsi="宋体" w:eastAsia="宋体"/>
          <w:sz w:val="24"/>
        </w:rPr>
        <w:t>学分，学生完成专业培养方案规定的课程，成绩合格，准予结业。</w:t>
      </w:r>
    </w:p>
    <w:p w14:paraId="1488E810">
      <w:pPr>
        <w:spacing w:line="360" w:lineRule="auto"/>
        <w:ind w:firstLine="482" w:firstLineChars="200"/>
        <w:rPr>
          <w:rFonts w:ascii="宋体" w:hAnsi="宋体" w:eastAsia="宋体"/>
          <w:b/>
          <w:bCs/>
          <w:sz w:val="24"/>
        </w:rPr>
      </w:pPr>
      <w:r>
        <w:rPr>
          <w:rFonts w:ascii="宋体" w:hAnsi="宋体" w:eastAsia="宋体"/>
          <w:b/>
          <w:bCs/>
          <w:sz w:val="24"/>
        </w:rPr>
        <w:t>四、有哪些教学资源？</w:t>
      </w:r>
    </w:p>
    <w:p w14:paraId="0B60A4C3">
      <w:pPr>
        <w:spacing w:line="360" w:lineRule="auto"/>
        <w:ind w:firstLine="482" w:firstLineChars="200"/>
        <w:rPr>
          <w:rFonts w:ascii="宋体" w:hAnsi="宋体" w:eastAsia="宋体"/>
          <w:b/>
          <w:bCs/>
          <w:sz w:val="24"/>
        </w:rPr>
      </w:pPr>
      <w:r>
        <w:rPr>
          <w:rFonts w:ascii="宋体" w:hAnsi="宋体" w:eastAsia="宋体"/>
          <w:b/>
          <w:bCs/>
          <w:sz w:val="24"/>
        </w:rPr>
        <w:t>（一）我们的师资队伍</w:t>
      </w:r>
    </w:p>
    <w:p w14:paraId="6043B1E6">
      <w:pPr>
        <w:spacing w:line="360" w:lineRule="auto"/>
        <w:ind w:firstLine="480" w:firstLineChars="200"/>
        <w:rPr>
          <w:rFonts w:ascii="宋体" w:hAnsi="宋体" w:eastAsia="宋体"/>
          <w:sz w:val="24"/>
        </w:rPr>
      </w:pPr>
      <w:r>
        <w:rPr>
          <w:rFonts w:ascii="宋体" w:hAnsi="宋体" w:eastAsia="宋体"/>
          <w:sz w:val="24"/>
        </w:rPr>
        <w:t>“美食、营养与健康”微专业依托旅游学院酒店管理系的综合优势，构建起一支“学术引领+行业实践”双元融合的教学团队。团队在成员构成、专业背景与实践经验方面体现出明显的交叉融合与复合特征，具备扎实的理论研究能力与丰富的教学实战经验，为微专业的高质量建设提供坚实支撑。</w:t>
      </w:r>
    </w:p>
    <w:p w14:paraId="1F929573">
      <w:pPr>
        <w:spacing w:line="360" w:lineRule="auto"/>
        <w:ind w:firstLine="480" w:firstLineChars="200"/>
        <w:rPr>
          <w:rFonts w:ascii="宋体" w:hAnsi="宋体" w:eastAsia="宋体"/>
          <w:sz w:val="24"/>
        </w:rPr>
      </w:pPr>
      <w:r>
        <w:rPr>
          <w:rFonts w:ascii="宋体" w:hAnsi="宋体" w:eastAsia="宋体"/>
          <w:sz w:val="24"/>
        </w:rPr>
        <w:t>具体结构如下：</w:t>
      </w:r>
    </w:p>
    <w:p w14:paraId="5A30B2F4">
      <w:pPr>
        <w:spacing w:line="360" w:lineRule="auto"/>
        <w:ind w:firstLine="482" w:firstLineChars="200"/>
        <w:rPr>
          <w:rFonts w:ascii="宋体" w:hAnsi="宋体" w:eastAsia="宋体"/>
          <w:b/>
          <w:bCs/>
          <w:sz w:val="24"/>
        </w:rPr>
      </w:pPr>
      <w:r>
        <w:rPr>
          <w:rFonts w:ascii="宋体" w:hAnsi="宋体" w:eastAsia="宋体"/>
          <w:b/>
          <w:bCs/>
          <w:sz w:val="24"/>
        </w:rPr>
        <w:t>学科方向负责人</w:t>
      </w:r>
    </w:p>
    <w:p w14:paraId="63AE01C4">
      <w:pPr>
        <w:spacing w:line="360" w:lineRule="auto"/>
        <w:ind w:firstLine="480" w:firstLineChars="200"/>
        <w:rPr>
          <w:rFonts w:ascii="宋体" w:hAnsi="宋体" w:eastAsia="宋体"/>
          <w:sz w:val="24"/>
        </w:rPr>
      </w:pPr>
      <w:r>
        <w:rPr>
          <w:rFonts w:ascii="宋体" w:hAnsi="宋体" w:eastAsia="宋体"/>
          <w:sz w:val="24"/>
        </w:rPr>
        <w:t>团队中共有副教授5名，主要负责餐饮管理、食品营养与健康等研究方向的学科定位与教学内容研发，具有深厚的学术积淀和较高的科研水平，能够引领学生把握行业前沿。</w:t>
      </w:r>
    </w:p>
    <w:p w14:paraId="2586B643">
      <w:pPr>
        <w:spacing w:line="360" w:lineRule="auto"/>
        <w:ind w:firstLine="482" w:firstLineChars="200"/>
        <w:rPr>
          <w:rFonts w:ascii="宋体" w:hAnsi="宋体" w:eastAsia="宋体"/>
          <w:b/>
          <w:bCs/>
          <w:sz w:val="24"/>
        </w:rPr>
      </w:pPr>
      <w:r>
        <w:rPr>
          <w:rFonts w:ascii="宋体" w:hAnsi="宋体" w:eastAsia="宋体"/>
          <w:b/>
          <w:bCs/>
          <w:sz w:val="24"/>
        </w:rPr>
        <w:t>核心教学成员</w:t>
      </w:r>
    </w:p>
    <w:p w14:paraId="224B4C9F">
      <w:pPr>
        <w:spacing w:line="360" w:lineRule="auto"/>
        <w:ind w:firstLine="480" w:firstLineChars="200"/>
        <w:rPr>
          <w:rFonts w:ascii="宋体" w:hAnsi="宋体" w:eastAsia="宋体"/>
          <w:sz w:val="24"/>
        </w:rPr>
      </w:pPr>
      <w:r>
        <w:rPr>
          <w:rFonts w:ascii="宋体" w:hAnsi="宋体" w:eastAsia="宋体"/>
          <w:sz w:val="24"/>
        </w:rPr>
        <w:t>专任教师7名，涵盖酒店管理、食品科学、文化传播等多个学科背景，呈现出多元化与互补性的结构。其中，多名教师持有国家认证的茶艺师、咖啡师等职业资格证书，具备较强的实践教学能力；部分成员长期从事饮食文化传播、健康膳食设计等领域研究，具有丰富的教学与科研成果积累。</w:t>
      </w:r>
    </w:p>
    <w:p w14:paraId="31F6BF44">
      <w:pPr>
        <w:spacing w:line="360" w:lineRule="auto"/>
        <w:ind w:firstLine="482" w:firstLineChars="200"/>
        <w:rPr>
          <w:rFonts w:ascii="宋体" w:hAnsi="宋体" w:eastAsia="宋体"/>
          <w:b/>
          <w:bCs/>
          <w:sz w:val="24"/>
        </w:rPr>
      </w:pPr>
      <w:r>
        <w:rPr>
          <w:rFonts w:ascii="宋体" w:hAnsi="宋体" w:eastAsia="宋体"/>
          <w:b/>
          <w:bCs/>
          <w:sz w:val="24"/>
        </w:rPr>
        <w:t>（二）我们的</w:t>
      </w:r>
      <w:r>
        <w:rPr>
          <w:rFonts w:hint="eastAsia" w:ascii="宋体" w:hAnsi="宋体" w:eastAsia="宋体"/>
          <w:b/>
          <w:bCs/>
          <w:sz w:val="24"/>
        </w:rPr>
        <w:t>教学</w:t>
      </w:r>
      <w:r>
        <w:rPr>
          <w:rFonts w:ascii="宋体" w:hAnsi="宋体" w:eastAsia="宋体"/>
          <w:b/>
          <w:bCs/>
          <w:sz w:val="24"/>
        </w:rPr>
        <w:t>资源</w:t>
      </w:r>
    </w:p>
    <w:p w14:paraId="32A75399">
      <w:pPr>
        <w:spacing w:line="360" w:lineRule="auto"/>
        <w:ind w:firstLine="482" w:firstLineChars="200"/>
        <w:rPr>
          <w:rFonts w:ascii="宋体" w:hAnsi="宋体" w:eastAsia="宋体"/>
          <w:b/>
          <w:bCs/>
          <w:sz w:val="24"/>
        </w:rPr>
      </w:pPr>
      <w:r>
        <w:rPr>
          <w:rFonts w:hint="eastAsia" w:ascii="宋体" w:hAnsi="宋体" w:eastAsia="宋体"/>
          <w:b/>
          <w:bCs/>
          <w:sz w:val="24"/>
        </w:rPr>
        <w:t>（</w:t>
      </w:r>
      <w:r>
        <w:rPr>
          <w:rFonts w:ascii="宋体" w:hAnsi="宋体" w:eastAsia="宋体"/>
          <w:b/>
          <w:bCs/>
          <w:sz w:val="24"/>
        </w:rPr>
        <w:t>1</w:t>
      </w:r>
      <w:r>
        <w:rPr>
          <w:rFonts w:hint="eastAsia" w:ascii="宋体" w:hAnsi="宋体" w:eastAsia="宋体"/>
          <w:b/>
          <w:bCs/>
          <w:sz w:val="24"/>
        </w:rPr>
        <w:t>）</w:t>
      </w:r>
      <w:r>
        <w:rPr>
          <w:rFonts w:ascii="宋体" w:hAnsi="宋体" w:eastAsia="宋体"/>
          <w:b/>
          <w:bCs/>
          <w:sz w:val="24"/>
        </w:rPr>
        <w:t>协会资源</w:t>
      </w:r>
    </w:p>
    <w:p w14:paraId="2D1B01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rPr>
      </w:pPr>
      <w:r>
        <w:rPr>
          <w:rFonts w:ascii="宋体" w:hAnsi="宋体" w:eastAsia="宋体"/>
          <w:sz w:val="24"/>
        </w:rPr>
        <w:t>海南省酒店与餐饮行业协会、海南省旅游协会、海南省</w:t>
      </w:r>
      <w:r>
        <w:rPr>
          <w:rFonts w:hint="eastAsia" w:ascii="宋体" w:hAnsi="宋体" w:eastAsia="宋体"/>
          <w:sz w:val="24"/>
          <w:lang w:val="en-US" w:eastAsia="zh-CN"/>
        </w:rPr>
        <w:t>康养</w:t>
      </w:r>
      <w:r>
        <w:rPr>
          <w:rFonts w:ascii="宋体" w:hAnsi="宋体" w:eastAsia="宋体"/>
          <w:sz w:val="24"/>
        </w:rPr>
        <w:t>旅游协会、海南省旅游景区协会等。</w:t>
      </w:r>
    </w:p>
    <w:p w14:paraId="583EDD7C">
      <w:pPr>
        <w:keepNext w:val="0"/>
        <w:keepLines w:val="0"/>
        <w:widowControl/>
        <w:suppressLineNumbers w:val="0"/>
        <w:jc w:val="left"/>
        <w:rPr>
          <w:rFonts w:ascii="宋体" w:hAnsi="宋体" w:eastAsia="宋体"/>
          <w:sz w:val="24"/>
        </w:rPr>
      </w:pPr>
      <w:r>
        <w:drawing>
          <wp:inline distT="0" distB="0" distL="114300" distR="114300">
            <wp:extent cx="1400175" cy="1059815"/>
            <wp:effectExtent l="0" t="0" r="2222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400175" cy="1059815"/>
                    </a:xfrm>
                    <a:prstGeom prst="rect">
                      <a:avLst/>
                    </a:prstGeom>
                    <a:noFill/>
                    <a:ln>
                      <a:noFill/>
                    </a:ln>
                  </pic:spPr>
                </pic:pic>
              </a:graphicData>
            </a:graphic>
          </wp:inline>
        </w:drawing>
      </w:r>
      <w:r>
        <w:drawing>
          <wp:inline distT="0" distB="0" distL="114300" distR="114300">
            <wp:extent cx="1207135" cy="1205230"/>
            <wp:effectExtent l="0" t="0" r="1206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1207135" cy="1205230"/>
                    </a:xfrm>
                    <a:prstGeom prst="rect">
                      <a:avLst/>
                    </a:prstGeom>
                    <a:noFill/>
                    <a:ln>
                      <a:noFill/>
                    </a:ln>
                  </pic:spPr>
                </pic:pic>
              </a:graphicData>
            </a:graphic>
          </wp:inline>
        </w:drawing>
      </w:r>
      <w:r>
        <w:rPr>
          <w:rFonts w:ascii="Arial" w:hAnsi="Arial" w:eastAsia="宋体" w:cs="Arial"/>
          <w:kern w:val="0"/>
          <w:sz w:val="24"/>
          <w:szCs w:val="24"/>
          <w:vertAlign w:val="baseline"/>
          <w:lang w:val="en-US" w:eastAsia="zh-CN" w:bidi="ar"/>
        </w:rPr>
        <w:drawing>
          <wp:inline distT="0" distB="0" distL="114300" distR="114300">
            <wp:extent cx="1146175" cy="1146175"/>
            <wp:effectExtent l="0" t="0" r="22225" b="22225"/>
            <wp:docPr id="6" name="图片 3"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点击查看图片来源"/>
                    <pic:cNvPicPr>
                      <a:picLocks noChangeAspect="1"/>
                    </pic:cNvPicPr>
                  </pic:nvPicPr>
                  <pic:blipFill>
                    <a:blip r:embed="rId9"/>
                    <a:stretch>
                      <a:fillRect/>
                    </a:stretch>
                  </pic:blipFill>
                  <pic:spPr>
                    <a:xfrm>
                      <a:off x="0" y="0"/>
                      <a:ext cx="1146175" cy="1146175"/>
                    </a:xfrm>
                    <a:prstGeom prst="rect">
                      <a:avLst/>
                    </a:prstGeom>
                    <a:noFill/>
                    <a:ln w="9525">
                      <a:noFill/>
                    </a:ln>
                  </pic:spPr>
                </pic:pic>
              </a:graphicData>
            </a:graphic>
          </wp:inline>
        </w:drawing>
      </w:r>
      <w:r>
        <w:rPr>
          <w:rFonts w:ascii="Arial" w:hAnsi="Arial" w:eastAsia="宋体" w:cs="Arial"/>
          <w:kern w:val="0"/>
          <w:sz w:val="24"/>
          <w:szCs w:val="24"/>
          <w:vertAlign w:val="baseline"/>
          <w:lang w:val="en-US" w:eastAsia="zh-CN" w:bidi="ar"/>
        </w:rPr>
        <w:drawing>
          <wp:inline distT="0" distB="0" distL="114300" distR="114300">
            <wp:extent cx="1137285" cy="1168400"/>
            <wp:effectExtent l="0" t="0" r="5715" b="0"/>
            <wp:docPr id="7" name="图片 4"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点击查看图片来源"/>
                    <pic:cNvPicPr>
                      <a:picLocks noChangeAspect="1"/>
                    </pic:cNvPicPr>
                  </pic:nvPicPr>
                  <pic:blipFill>
                    <a:blip r:embed="rId10"/>
                    <a:stretch>
                      <a:fillRect/>
                    </a:stretch>
                  </pic:blipFill>
                  <pic:spPr>
                    <a:xfrm>
                      <a:off x="0" y="0"/>
                      <a:ext cx="1137285" cy="1168400"/>
                    </a:xfrm>
                    <a:prstGeom prst="rect">
                      <a:avLst/>
                    </a:prstGeom>
                    <a:noFill/>
                    <a:ln w="9525">
                      <a:noFill/>
                    </a:ln>
                  </pic:spPr>
                </pic:pic>
              </a:graphicData>
            </a:graphic>
          </wp:inline>
        </w:drawing>
      </w:r>
    </w:p>
    <w:p w14:paraId="7EC3D421">
      <w:pPr>
        <w:spacing w:line="360" w:lineRule="auto"/>
        <w:ind w:firstLine="482" w:firstLineChars="200"/>
        <w:rPr>
          <w:rFonts w:ascii="宋体" w:hAnsi="宋体" w:eastAsia="宋体"/>
          <w:b/>
          <w:bCs/>
          <w:sz w:val="24"/>
        </w:rPr>
      </w:pPr>
      <w:r>
        <w:rPr>
          <w:rFonts w:hint="eastAsia" w:ascii="宋体" w:hAnsi="宋体" w:eastAsia="宋体"/>
          <w:b/>
          <w:bCs/>
          <w:sz w:val="24"/>
        </w:rPr>
        <w:t>（2）</w:t>
      </w:r>
      <w:r>
        <w:rPr>
          <w:rFonts w:ascii="宋体" w:hAnsi="宋体" w:eastAsia="宋体"/>
          <w:b/>
          <w:bCs/>
          <w:sz w:val="24"/>
        </w:rPr>
        <w:t>行业资源</w:t>
      </w:r>
    </w:p>
    <w:p w14:paraId="0202A5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sz w:val="24"/>
        </w:rPr>
      </w:pPr>
      <w:r>
        <w:rPr>
          <w:rFonts w:ascii="宋体" w:hAnsi="宋体" w:eastAsia="宋体"/>
          <w:sz w:val="24"/>
        </w:rPr>
        <w:t>三亚</w:t>
      </w:r>
      <w:r>
        <w:rPr>
          <w:rFonts w:hint="eastAsia" w:ascii="宋体" w:hAnsi="宋体" w:eastAsia="宋体"/>
          <w:sz w:val="24"/>
          <w:lang w:val="en-US" w:eastAsia="zh-CN"/>
        </w:rPr>
        <w:t>亚龙湾瑞吉度假</w:t>
      </w:r>
      <w:r>
        <w:rPr>
          <w:rFonts w:ascii="宋体" w:hAnsi="宋体" w:eastAsia="宋体"/>
          <w:sz w:val="24"/>
        </w:rPr>
        <w:t>酒店、三亚亚特兰蒂斯酒店、海口</w:t>
      </w:r>
      <w:r>
        <w:rPr>
          <w:rFonts w:hint="eastAsia" w:ascii="宋体" w:hAnsi="宋体" w:eastAsia="宋体"/>
          <w:sz w:val="24"/>
          <w:lang w:val="en-US" w:eastAsia="zh-CN"/>
        </w:rPr>
        <w:t>万豪</w:t>
      </w:r>
      <w:r>
        <w:rPr>
          <w:rFonts w:ascii="宋体" w:hAnsi="宋体" w:eastAsia="宋体"/>
          <w:sz w:val="24"/>
        </w:rPr>
        <w:t>酒店、</w:t>
      </w:r>
      <w:r>
        <w:rPr>
          <w:rFonts w:hint="eastAsia" w:ascii="宋体" w:hAnsi="宋体" w:eastAsia="宋体"/>
          <w:sz w:val="24"/>
          <w:lang w:val="en-US" w:eastAsia="zh-CN"/>
        </w:rPr>
        <w:t>澄迈富力希尔顿逸林度假酒店</w:t>
      </w:r>
      <w:r>
        <w:rPr>
          <w:rFonts w:ascii="宋体" w:hAnsi="宋体" w:eastAsia="宋体"/>
          <w:sz w:val="24"/>
        </w:rPr>
        <w:t>、海口</w:t>
      </w:r>
      <w:r>
        <w:rPr>
          <w:rFonts w:hint="eastAsia" w:ascii="宋体" w:hAnsi="宋体" w:eastAsia="宋体"/>
          <w:sz w:val="24"/>
          <w:lang w:val="en-US" w:eastAsia="zh-CN"/>
        </w:rPr>
        <w:t>观澜湖度假酒店</w:t>
      </w:r>
      <w:r>
        <w:rPr>
          <w:rFonts w:ascii="宋体" w:hAnsi="宋体" w:eastAsia="宋体"/>
          <w:sz w:val="24"/>
        </w:rPr>
        <w:t>。</w:t>
      </w:r>
    </w:p>
    <w:p w14:paraId="13762421">
      <w:pPr>
        <w:keepNext w:val="0"/>
        <w:keepLines w:val="0"/>
        <w:widowControl/>
        <w:suppressLineNumbers w:val="0"/>
        <w:jc w:val="left"/>
      </w:pPr>
      <w:r>
        <w:rPr>
          <w:rFonts w:ascii="Arial" w:hAnsi="Arial" w:eastAsia="宋体" w:cs="Arial"/>
          <w:i w:val="0"/>
          <w:iCs w:val="0"/>
          <w:caps w:val="0"/>
          <w:color w:val="000000"/>
          <w:spacing w:val="0"/>
          <w:kern w:val="0"/>
          <w:sz w:val="24"/>
          <w:szCs w:val="24"/>
          <w:u w:val="none"/>
          <w:vertAlign w:val="baseline"/>
          <w:lang w:val="en-US" w:eastAsia="zh-CN" w:bidi="ar"/>
        </w:rPr>
        <w:drawing>
          <wp:anchor distT="0" distB="0" distL="114300" distR="114300" simplePos="0" relativeHeight="251660288" behindDoc="1" locked="0" layoutInCell="1" allowOverlap="1">
            <wp:simplePos x="0" y="0"/>
            <wp:positionH relativeFrom="column">
              <wp:posOffset>2477770</wp:posOffset>
            </wp:positionH>
            <wp:positionV relativeFrom="paragraph">
              <wp:posOffset>124460</wp:posOffset>
            </wp:positionV>
            <wp:extent cx="1715770" cy="1725295"/>
            <wp:effectExtent l="0" t="0" r="11430" b="1905"/>
            <wp:wrapTight wrapText="bothSides">
              <wp:wrapPolygon>
                <wp:start x="0" y="0"/>
                <wp:lineTo x="0" y="21306"/>
                <wp:lineTo x="21424" y="21306"/>
                <wp:lineTo x="21424" y="0"/>
                <wp:lineTo x="0" y="0"/>
              </wp:wrapPolygon>
            </wp:wrapTight>
            <wp:docPr id="9" name="图片 6"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点击查看图片来源"/>
                    <pic:cNvPicPr>
                      <a:picLocks noChangeAspect="1"/>
                    </pic:cNvPicPr>
                  </pic:nvPicPr>
                  <pic:blipFill>
                    <a:blip r:embed="rId11"/>
                    <a:stretch>
                      <a:fillRect/>
                    </a:stretch>
                  </pic:blipFill>
                  <pic:spPr>
                    <a:xfrm>
                      <a:off x="0" y="0"/>
                      <a:ext cx="1715770" cy="1725295"/>
                    </a:xfrm>
                    <a:prstGeom prst="rect">
                      <a:avLst/>
                    </a:prstGeom>
                    <a:noFill/>
                    <a:ln w="9525">
                      <a:noFill/>
                    </a:ln>
                  </pic:spPr>
                </pic:pic>
              </a:graphicData>
            </a:graphic>
          </wp:anchor>
        </w:drawing>
      </w:r>
      <w:r>
        <w:rPr>
          <w:rFonts w:ascii="Arial" w:hAnsi="Arial" w:eastAsia="宋体" w:cs="Arial"/>
          <w:i w:val="0"/>
          <w:iCs w:val="0"/>
          <w:caps w:val="0"/>
          <w:color w:val="000000"/>
          <w:spacing w:val="0"/>
          <w:kern w:val="0"/>
          <w:sz w:val="24"/>
          <w:szCs w:val="24"/>
          <w:u w:val="none"/>
          <w:vertAlign w:val="baseline"/>
          <w:lang w:val="en-US" w:eastAsia="zh-CN" w:bidi="ar"/>
        </w:rPr>
        <w:drawing>
          <wp:anchor distT="0" distB="0" distL="114300" distR="114300" simplePos="0" relativeHeight="251659264" behindDoc="1" locked="0" layoutInCell="1" allowOverlap="1">
            <wp:simplePos x="0" y="0"/>
            <wp:positionH relativeFrom="column">
              <wp:posOffset>696595</wp:posOffset>
            </wp:positionH>
            <wp:positionV relativeFrom="paragraph">
              <wp:posOffset>29845</wp:posOffset>
            </wp:positionV>
            <wp:extent cx="1864360" cy="1814195"/>
            <wp:effectExtent l="0" t="0" r="0" b="14605"/>
            <wp:wrapTight wrapText="bothSides">
              <wp:wrapPolygon>
                <wp:start x="0" y="0"/>
                <wp:lineTo x="0" y="21169"/>
                <wp:lineTo x="21188" y="21169"/>
                <wp:lineTo x="21188" y="0"/>
                <wp:lineTo x="0" y="0"/>
              </wp:wrapPolygon>
            </wp:wrapTight>
            <wp:docPr id="8" name="图片 5"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点击查看图片来源"/>
                    <pic:cNvPicPr>
                      <a:picLocks noChangeAspect="1"/>
                    </pic:cNvPicPr>
                  </pic:nvPicPr>
                  <pic:blipFill>
                    <a:blip r:embed="rId12"/>
                    <a:stretch>
                      <a:fillRect/>
                    </a:stretch>
                  </pic:blipFill>
                  <pic:spPr>
                    <a:xfrm>
                      <a:off x="0" y="0"/>
                      <a:ext cx="1864360" cy="1814195"/>
                    </a:xfrm>
                    <a:prstGeom prst="rect">
                      <a:avLst/>
                    </a:prstGeom>
                    <a:noFill/>
                    <a:ln w="9525">
                      <a:noFill/>
                    </a:ln>
                  </pic:spPr>
                </pic:pic>
              </a:graphicData>
            </a:graphic>
          </wp:anchor>
        </w:drawing>
      </w:r>
    </w:p>
    <w:p w14:paraId="7E634476">
      <w:pPr>
        <w:spacing w:line="360" w:lineRule="auto"/>
        <w:ind w:firstLine="480" w:firstLineChars="200"/>
        <w:jc w:val="left"/>
        <w:rPr>
          <w:rFonts w:ascii="宋体" w:hAnsi="宋体" w:eastAsia="宋体"/>
          <w:sz w:val="24"/>
        </w:rPr>
      </w:pPr>
    </w:p>
    <w:p w14:paraId="109B6A42">
      <w:pPr>
        <w:spacing w:line="360" w:lineRule="auto"/>
        <w:ind w:firstLine="482" w:firstLineChars="200"/>
        <w:rPr>
          <w:rFonts w:hint="eastAsia" w:ascii="宋体" w:hAnsi="宋体" w:eastAsia="宋体"/>
          <w:b/>
          <w:bCs/>
          <w:sz w:val="24"/>
        </w:rPr>
      </w:pPr>
    </w:p>
    <w:p w14:paraId="3453771D">
      <w:pPr>
        <w:spacing w:line="360" w:lineRule="auto"/>
        <w:ind w:firstLine="482" w:firstLineChars="200"/>
        <w:rPr>
          <w:rFonts w:hint="eastAsia" w:ascii="宋体" w:hAnsi="宋体" w:eastAsia="宋体"/>
          <w:b/>
          <w:bCs/>
          <w:sz w:val="24"/>
        </w:rPr>
      </w:pPr>
    </w:p>
    <w:p w14:paraId="67DD5B56">
      <w:pPr>
        <w:spacing w:line="360" w:lineRule="auto"/>
        <w:ind w:firstLine="482" w:firstLineChars="200"/>
        <w:rPr>
          <w:rFonts w:hint="eastAsia" w:ascii="宋体" w:hAnsi="宋体" w:eastAsia="宋体"/>
          <w:b/>
          <w:bCs/>
          <w:sz w:val="24"/>
        </w:rPr>
      </w:pPr>
    </w:p>
    <w:p w14:paraId="230123BF">
      <w:pPr>
        <w:spacing w:line="360" w:lineRule="auto"/>
        <w:ind w:firstLine="482" w:firstLineChars="200"/>
        <w:rPr>
          <w:rFonts w:hint="eastAsia" w:ascii="宋体" w:hAnsi="宋体" w:eastAsia="宋体"/>
          <w:b/>
          <w:bCs/>
          <w:sz w:val="24"/>
        </w:rPr>
      </w:pPr>
    </w:p>
    <w:p w14:paraId="601FB18B">
      <w:pPr>
        <w:spacing w:line="360" w:lineRule="auto"/>
        <w:ind w:firstLine="482" w:firstLineChars="200"/>
        <w:rPr>
          <w:rFonts w:ascii="宋体" w:hAnsi="宋体" w:eastAsia="宋体"/>
          <w:b/>
          <w:bCs/>
          <w:sz w:val="24"/>
        </w:rPr>
      </w:pPr>
      <w:r>
        <w:rPr>
          <w:rFonts w:hint="eastAsia" w:ascii="宋体" w:hAnsi="宋体" w:eastAsia="宋体"/>
          <w:b/>
          <w:bCs/>
          <w:sz w:val="24"/>
        </w:rPr>
        <w:t>（3）教学资源</w:t>
      </w:r>
    </w:p>
    <w:p w14:paraId="4DFD69AE">
      <w:pPr>
        <w:spacing w:line="360" w:lineRule="auto"/>
        <w:ind w:firstLine="480" w:firstLineChars="200"/>
        <w:rPr>
          <w:rFonts w:ascii="宋体" w:hAnsi="宋体" w:eastAsia="宋体"/>
          <w:sz w:val="24"/>
        </w:rPr>
      </w:pPr>
      <w:r>
        <w:rPr>
          <w:rFonts w:ascii="宋体" w:hAnsi="宋体" w:eastAsia="宋体"/>
          <w:sz w:val="24"/>
        </w:rPr>
        <w:t>“数字化酒店实训中心”（含咖啡调制实训室、茶艺室、中西餐饮技能实训室）、专业器具、多媒体设备与智能设施</w:t>
      </w:r>
      <w:r>
        <w:rPr>
          <w:rFonts w:hint="eastAsia" w:ascii="宋体" w:hAnsi="宋体" w:eastAsia="宋体"/>
          <w:sz w:val="24"/>
        </w:rPr>
        <w:t>。</w:t>
      </w:r>
    </w:p>
    <w:p w14:paraId="34A76181">
      <w:pPr>
        <w:spacing w:line="360" w:lineRule="auto"/>
        <w:rPr>
          <w:rFonts w:ascii="宋体" w:hAnsi="宋体" w:eastAsia="宋体"/>
          <w:b/>
          <w:bCs/>
          <w:sz w:val="24"/>
        </w:rPr>
      </w:pPr>
      <w:r>
        <w:rPr>
          <w:rFonts w:hint="eastAsia" w:ascii="宋体" w:hAnsi="宋体" w:eastAsia="宋体"/>
          <w:b/>
          <w:bCs/>
          <w:sz w:val="24"/>
        </w:rPr>
        <w:drawing>
          <wp:inline distT="0" distB="0" distL="0" distR="0">
            <wp:extent cx="2598420" cy="2242185"/>
            <wp:effectExtent l="0" t="0" r="508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6565" cy="2274749"/>
                    </a:xfrm>
                    <a:prstGeom prst="rect">
                      <a:avLst/>
                    </a:prstGeom>
                  </pic:spPr>
                </pic:pic>
              </a:graphicData>
            </a:graphic>
          </wp:inline>
        </w:drawing>
      </w:r>
      <w:r>
        <w:rPr>
          <w:rFonts w:hint="eastAsia" w:ascii="宋体" w:hAnsi="宋体" w:eastAsia="宋体"/>
          <w:b/>
          <w:bCs/>
          <w:sz w:val="24"/>
        </w:rPr>
        <w:drawing>
          <wp:inline distT="0" distB="0" distL="0" distR="0">
            <wp:extent cx="2655570" cy="2241550"/>
            <wp:effectExtent l="0" t="0" r="0" b="0"/>
            <wp:docPr id="19" name="图片 19" descr="厨房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厨房的摆设布局&#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873" cy="2286205"/>
                    </a:xfrm>
                    <a:prstGeom prst="rect">
                      <a:avLst/>
                    </a:prstGeom>
                  </pic:spPr>
                </pic:pic>
              </a:graphicData>
            </a:graphic>
          </wp:inline>
        </w:drawing>
      </w:r>
    </w:p>
    <w:p w14:paraId="769657FD">
      <w:pPr>
        <w:spacing w:line="360" w:lineRule="auto"/>
        <w:ind w:firstLine="482" w:firstLineChars="200"/>
        <w:rPr>
          <w:rFonts w:ascii="宋体" w:hAnsi="宋体" w:eastAsia="宋体"/>
          <w:b/>
          <w:bCs/>
          <w:sz w:val="24"/>
        </w:rPr>
      </w:pPr>
    </w:p>
    <w:p w14:paraId="47078372">
      <w:pPr>
        <w:spacing w:line="360" w:lineRule="auto"/>
        <w:ind w:firstLine="482" w:firstLineChars="200"/>
        <w:rPr>
          <w:rFonts w:ascii="宋体" w:hAnsi="宋体" w:eastAsia="宋体"/>
          <w:b/>
          <w:bCs/>
          <w:sz w:val="24"/>
        </w:rPr>
      </w:pPr>
      <w:r>
        <w:rPr>
          <w:rFonts w:ascii="宋体" w:hAnsi="宋体" w:eastAsia="宋体"/>
          <w:b/>
          <w:bCs/>
          <w:sz w:val="24"/>
        </w:rPr>
        <w:t>五、到哪些机构就业创业？</w:t>
      </w:r>
    </w:p>
    <w:p w14:paraId="76F1C37E">
      <w:pPr>
        <w:spacing w:line="360" w:lineRule="auto"/>
        <w:ind w:firstLine="482" w:firstLineChars="200"/>
        <w:rPr>
          <w:rFonts w:ascii="宋体" w:hAnsi="宋体" w:eastAsia="宋体"/>
          <w:sz w:val="24"/>
        </w:rPr>
      </w:pPr>
      <w:r>
        <w:rPr>
          <w:rFonts w:ascii="宋体" w:hAnsi="宋体" w:eastAsia="宋体"/>
          <w:b/>
          <w:bCs/>
          <w:sz w:val="24"/>
        </w:rPr>
        <w:t>--健康食育讲师：</w:t>
      </w:r>
      <w:r>
        <w:rPr>
          <w:rFonts w:ascii="宋体" w:hAnsi="宋体" w:eastAsia="宋体"/>
          <w:sz w:val="24"/>
        </w:rPr>
        <w:t>在学校、社区及营养科普机构从事食育课程教学与健康饮食推广，提升公众营养意识和饮食素养。</w:t>
      </w:r>
    </w:p>
    <w:p w14:paraId="0F075FCB">
      <w:pPr>
        <w:spacing w:line="360" w:lineRule="auto"/>
        <w:ind w:firstLine="482" w:firstLineChars="200"/>
        <w:rPr>
          <w:rFonts w:ascii="宋体" w:hAnsi="宋体" w:eastAsia="宋体"/>
          <w:sz w:val="24"/>
        </w:rPr>
      </w:pPr>
      <w:r>
        <w:rPr>
          <w:rFonts w:hint="eastAsia" w:ascii="宋体" w:hAnsi="宋体" w:eastAsia="宋体"/>
          <w:b/>
          <w:bCs/>
          <w:sz w:val="24"/>
        </w:rPr>
        <w:t>-</w:t>
      </w:r>
      <w:r>
        <w:rPr>
          <w:rFonts w:ascii="宋体" w:hAnsi="宋体" w:eastAsia="宋体"/>
          <w:b/>
          <w:bCs/>
          <w:sz w:val="24"/>
        </w:rPr>
        <w:t>-营养推广顾问：</w:t>
      </w:r>
      <w:r>
        <w:rPr>
          <w:rFonts w:ascii="宋体" w:hAnsi="宋体" w:eastAsia="宋体"/>
          <w:sz w:val="24"/>
        </w:rPr>
        <w:t>在营养咨询公司、保健食品企业或康养中心等机构提供膳食指导与营养评估，推动个性化健康管理服务</w:t>
      </w:r>
      <w:r>
        <w:rPr>
          <w:rFonts w:hint="eastAsia" w:ascii="宋体" w:hAnsi="宋体" w:eastAsia="宋体"/>
          <w:sz w:val="24"/>
        </w:rPr>
        <w:t>。</w:t>
      </w:r>
    </w:p>
    <w:p w14:paraId="024B7398">
      <w:pPr>
        <w:spacing w:line="360" w:lineRule="auto"/>
        <w:ind w:firstLine="482" w:firstLineChars="200"/>
        <w:rPr>
          <w:rFonts w:ascii="宋体" w:hAnsi="宋体" w:eastAsia="宋体"/>
          <w:sz w:val="24"/>
        </w:rPr>
      </w:pPr>
      <w:r>
        <w:rPr>
          <w:rFonts w:hint="eastAsia" w:ascii="宋体" w:hAnsi="宋体" w:eastAsia="宋体"/>
          <w:b/>
          <w:bCs/>
          <w:sz w:val="24"/>
        </w:rPr>
        <w:t>-</w:t>
      </w:r>
      <w:r>
        <w:rPr>
          <w:rFonts w:ascii="宋体" w:hAnsi="宋体" w:eastAsia="宋体"/>
          <w:b/>
          <w:bCs/>
          <w:sz w:val="24"/>
        </w:rPr>
        <w:t>-膳食管理专员：</w:t>
      </w:r>
      <w:r>
        <w:rPr>
          <w:rFonts w:ascii="宋体" w:hAnsi="宋体" w:eastAsia="宋体"/>
          <w:sz w:val="24"/>
        </w:rPr>
        <w:t>在星级酒店、连锁餐饮、养老机构等单位从事菜单设计、营养配餐与饮食标准制定，参与健康饮食体系建设。</w:t>
      </w:r>
    </w:p>
    <w:p w14:paraId="09D23543">
      <w:pPr>
        <w:spacing w:line="360" w:lineRule="auto"/>
        <w:ind w:firstLine="482" w:firstLineChars="200"/>
        <w:rPr>
          <w:rFonts w:ascii="宋体" w:hAnsi="宋体" w:eastAsia="宋体"/>
          <w:sz w:val="24"/>
        </w:rPr>
      </w:pPr>
      <w:r>
        <w:rPr>
          <w:rFonts w:hint="eastAsia" w:ascii="宋体" w:hAnsi="宋体" w:eastAsia="宋体"/>
          <w:b/>
          <w:bCs/>
          <w:sz w:val="24"/>
        </w:rPr>
        <w:t>-</w:t>
      </w:r>
      <w:r>
        <w:rPr>
          <w:rFonts w:ascii="宋体" w:hAnsi="宋体" w:eastAsia="宋体"/>
          <w:b/>
          <w:bCs/>
          <w:sz w:val="24"/>
        </w:rPr>
        <w:t>-饮食文化传播：</w:t>
      </w:r>
      <w:r>
        <w:rPr>
          <w:rFonts w:ascii="宋体" w:hAnsi="宋体" w:eastAsia="宋体"/>
          <w:sz w:val="24"/>
        </w:rPr>
        <w:t>在传统媒体、新媒体平台或美食内容创作团队担任内容策划与传播角色，弘扬中国饮食文化与“食养结合”理念。</w:t>
      </w:r>
    </w:p>
    <w:p w14:paraId="5760F853">
      <w:pPr>
        <w:spacing w:line="360" w:lineRule="auto"/>
        <w:ind w:firstLine="482" w:firstLineChars="200"/>
        <w:rPr>
          <w:rFonts w:ascii="宋体" w:hAnsi="宋体" w:eastAsia="宋体"/>
          <w:sz w:val="24"/>
        </w:rPr>
      </w:pPr>
      <w:r>
        <w:rPr>
          <w:rFonts w:hint="eastAsia" w:ascii="宋体" w:hAnsi="宋体" w:eastAsia="宋体"/>
          <w:b/>
          <w:bCs/>
          <w:sz w:val="24"/>
        </w:rPr>
        <w:t>-</w:t>
      </w:r>
      <w:r>
        <w:rPr>
          <w:rFonts w:ascii="宋体" w:hAnsi="宋体" w:eastAsia="宋体"/>
          <w:b/>
          <w:bCs/>
          <w:sz w:val="24"/>
        </w:rPr>
        <w:t>-餐饮产品策划：</w:t>
      </w:r>
      <w:r>
        <w:rPr>
          <w:rFonts w:ascii="宋体" w:hAnsi="宋体" w:eastAsia="宋体"/>
          <w:sz w:val="24"/>
        </w:rPr>
        <w:t>在健康食品公司、茶饮品牌或特色食材研发企业参与产品设计、功能餐研发与市场推广。</w:t>
      </w:r>
    </w:p>
    <w:p w14:paraId="6D29FD19">
      <w:pPr>
        <w:spacing w:line="360" w:lineRule="auto"/>
        <w:ind w:firstLine="482" w:firstLineChars="200"/>
        <w:rPr>
          <w:rFonts w:ascii="宋体" w:hAnsi="宋体" w:eastAsia="宋体"/>
          <w:b/>
          <w:bCs/>
          <w:sz w:val="24"/>
        </w:rPr>
      </w:pPr>
      <w:r>
        <w:rPr>
          <w:rFonts w:ascii="宋体" w:hAnsi="宋体" w:eastAsia="宋体"/>
          <w:b/>
          <w:bCs/>
          <w:sz w:val="24"/>
        </w:rPr>
        <w:t>六、如何报名和授课？</w:t>
      </w:r>
    </w:p>
    <w:p w14:paraId="7EDFA98E">
      <w:pPr>
        <w:spacing w:line="360" w:lineRule="auto"/>
        <w:ind w:firstLine="482" w:firstLineChars="200"/>
        <w:rPr>
          <w:rFonts w:ascii="宋体" w:hAnsi="宋体" w:eastAsia="宋体"/>
          <w:b/>
          <w:bCs/>
          <w:sz w:val="24"/>
        </w:rPr>
      </w:pPr>
      <w:r>
        <w:rPr>
          <w:rFonts w:ascii="宋体" w:hAnsi="宋体" w:eastAsia="宋体"/>
          <w:b/>
          <w:bCs/>
          <w:sz w:val="24"/>
        </w:rPr>
        <w:t>（一）报名办法</w:t>
      </w:r>
    </w:p>
    <w:p w14:paraId="6578A7FE">
      <w:pPr>
        <w:spacing w:line="360" w:lineRule="auto"/>
        <w:ind w:firstLine="480" w:firstLineChars="200"/>
        <w:rPr>
          <w:rFonts w:ascii="宋体" w:hAnsi="宋体" w:eastAsia="宋体"/>
          <w:sz w:val="24"/>
        </w:rPr>
      </w:pPr>
      <w:r>
        <w:rPr>
          <w:rFonts w:ascii="宋体" w:hAnsi="宋体" w:eastAsia="宋体"/>
          <w:sz w:val="24"/>
        </w:rPr>
        <w:t>开班人数：20人</w:t>
      </w:r>
    </w:p>
    <w:p w14:paraId="60D19B68">
      <w:pPr>
        <w:spacing w:line="360" w:lineRule="auto"/>
        <w:ind w:firstLine="480" w:firstLineChars="200"/>
        <w:rPr>
          <w:rFonts w:ascii="宋体" w:hAnsi="宋体" w:eastAsia="宋体"/>
          <w:sz w:val="24"/>
        </w:rPr>
      </w:pPr>
      <w:r>
        <w:rPr>
          <w:rFonts w:ascii="宋体" w:hAnsi="宋体" w:eastAsia="宋体"/>
          <w:sz w:val="24"/>
        </w:rPr>
        <w:t>在2025年5月14日（周</w:t>
      </w:r>
      <w:r>
        <w:rPr>
          <w:rFonts w:hint="eastAsia" w:ascii="宋体" w:hAnsi="宋体" w:eastAsia="宋体"/>
          <w:sz w:val="24"/>
        </w:rPr>
        <w:t>三</w:t>
      </w:r>
      <w:r>
        <w:rPr>
          <w:rFonts w:ascii="宋体" w:hAnsi="宋体" w:eastAsia="宋体"/>
          <w:sz w:val="24"/>
        </w:rPr>
        <w:t>）</w:t>
      </w:r>
      <w:r>
        <w:rPr>
          <w:rFonts w:hint="eastAsia" w:ascii="宋体" w:hAnsi="宋体" w:eastAsia="宋体"/>
          <w:sz w:val="24"/>
          <w:lang w:val="en-US" w:eastAsia="zh-CN"/>
        </w:rPr>
        <w:t>中</w:t>
      </w:r>
      <w:r>
        <w:rPr>
          <w:rFonts w:ascii="宋体" w:hAnsi="宋体" w:eastAsia="宋体"/>
          <w:sz w:val="24"/>
        </w:rPr>
        <w:t>午12:00之前，将报名表发送至邮箱：</w:t>
      </w:r>
      <w:r>
        <w:rPr>
          <w:rFonts w:hint="eastAsia" w:ascii="宋体" w:hAnsi="宋体" w:eastAsia="宋体"/>
          <w:sz w:val="24"/>
        </w:rPr>
        <w:t>lyxyjwb@hainnu.edu.cn</w:t>
      </w:r>
      <w:r>
        <w:rPr>
          <w:rFonts w:ascii="宋体" w:hAnsi="宋体" w:eastAsia="宋体"/>
          <w:sz w:val="24"/>
        </w:rPr>
        <w:t>。</w:t>
      </w:r>
    </w:p>
    <w:p w14:paraId="6443C057">
      <w:pPr>
        <w:spacing w:line="360" w:lineRule="auto"/>
        <w:ind w:firstLine="482" w:firstLineChars="200"/>
        <w:rPr>
          <w:rFonts w:ascii="宋体" w:hAnsi="宋体" w:eastAsia="宋体"/>
          <w:b/>
          <w:bCs/>
          <w:sz w:val="24"/>
        </w:rPr>
      </w:pPr>
      <w:r>
        <w:rPr>
          <w:rFonts w:ascii="宋体" w:hAnsi="宋体" w:eastAsia="宋体"/>
          <w:b/>
          <w:bCs/>
          <w:sz w:val="24"/>
        </w:rPr>
        <w:t>（二）审核和录取</w:t>
      </w:r>
    </w:p>
    <w:p w14:paraId="1636C876">
      <w:pPr>
        <w:spacing w:line="360" w:lineRule="auto"/>
        <w:ind w:firstLine="480" w:firstLineChars="200"/>
        <w:rPr>
          <w:rFonts w:ascii="宋体" w:hAnsi="宋体" w:eastAsia="宋体"/>
          <w:sz w:val="24"/>
        </w:rPr>
      </w:pPr>
      <w:r>
        <w:rPr>
          <w:rFonts w:ascii="宋体" w:hAnsi="宋体" w:eastAsia="宋体"/>
          <w:sz w:val="24"/>
        </w:rPr>
        <w:t>2025年5月</w:t>
      </w:r>
      <w:r>
        <w:rPr>
          <w:rFonts w:hint="eastAsia" w:ascii="宋体" w:hAnsi="宋体" w:eastAsia="宋体"/>
          <w:sz w:val="24"/>
          <w:lang w:val="en-US" w:eastAsia="zh-CN"/>
        </w:rPr>
        <w:t>15-16</w:t>
      </w:r>
      <w:r>
        <w:rPr>
          <w:rFonts w:ascii="宋体" w:hAnsi="宋体" w:eastAsia="宋体"/>
          <w:sz w:val="24"/>
        </w:rPr>
        <w:t>日进行审核，并将审核结果通知到报名者。接到审核通过的报名者，请于2025年5月</w:t>
      </w:r>
      <w:r>
        <w:rPr>
          <w:rFonts w:hint="eastAsia" w:ascii="宋体" w:hAnsi="宋体" w:eastAsia="宋体"/>
          <w:sz w:val="24"/>
        </w:rPr>
        <w:t>2</w:t>
      </w:r>
      <w:r>
        <w:rPr>
          <w:rFonts w:hint="eastAsia" w:ascii="宋体" w:hAnsi="宋体" w:eastAsia="宋体"/>
          <w:sz w:val="24"/>
          <w:lang w:val="en-US" w:eastAsia="zh-CN"/>
        </w:rPr>
        <w:t>1</w:t>
      </w:r>
      <w:r>
        <w:rPr>
          <w:rFonts w:ascii="宋体" w:hAnsi="宋体" w:eastAsia="宋体"/>
          <w:sz w:val="24"/>
        </w:rPr>
        <w:t>日之前打印纸质申请表一份，提交至旅游学院教务办公室（桂林洋校区旅游学院</w:t>
      </w:r>
      <w:r>
        <w:rPr>
          <w:rFonts w:hint="eastAsia" w:ascii="宋体" w:hAnsi="宋体" w:eastAsia="宋体"/>
          <w:sz w:val="24"/>
          <w:lang w:val="en-US" w:eastAsia="zh-CN"/>
        </w:rPr>
        <w:t>大楼</w:t>
      </w:r>
      <w:r>
        <w:rPr>
          <w:rFonts w:ascii="宋体" w:hAnsi="宋体" w:eastAsia="宋体"/>
          <w:sz w:val="24"/>
        </w:rPr>
        <w:t>2</w:t>
      </w:r>
      <w:r>
        <w:rPr>
          <w:rFonts w:hint="eastAsia" w:ascii="宋体" w:hAnsi="宋体" w:eastAsia="宋体"/>
          <w:sz w:val="24"/>
          <w:lang w:val="en-US" w:eastAsia="zh-CN"/>
        </w:rPr>
        <w:t>06</w:t>
      </w:r>
      <w:r>
        <w:rPr>
          <w:rFonts w:ascii="宋体" w:hAnsi="宋体" w:eastAsia="宋体"/>
          <w:sz w:val="24"/>
        </w:rPr>
        <w:t>）。注意</w:t>
      </w:r>
      <w:r>
        <w:rPr>
          <w:rFonts w:hint="eastAsia" w:ascii="宋体" w:hAnsi="宋体" w:eastAsia="宋体"/>
          <w:sz w:val="24"/>
          <w:lang w:val="en-US" w:eastAsia="zh-CN"/>
        </w:rPr>
        <w:t>申请人签名</w:t>
      </w:r>
      <w:r>
        <w:rPr>
          <w:rFonts w:ascii="宋体" w:hAnsi="宋体" w:eastAsia="宋体"/>
          <w:sz w:val="24"/>
        </w:rPr>
        <w:t>需</w:t>
      </w:r>
      <w:bookmarkStart w:id="0" w:name="_GoBack"/>
      <w:bookmarkEnd w:id="0"/>
      <w:r>
        <w:rPr>
          <w:rFonts w:ascii="宋体" w:hAnsi="宋体" w:eastAsia="宋体"/>
          <w:sz w:val="24"/>
        </w:rPr>
        <w:t>手写签字。</w:t>
      </w:r>
    </w:p>
    <w:p w14:paraId="4EB51E33">
      <w:pPr>
        <w:spacing w:line="360" w:lineRule="auto"/>
        <w:ind w:firstLine="482" w:firstLineChars="200"/>
        <w:rPr>
          <w:rFonts w:ascii="宋体" w:hAnsi="宋体" w:eastAsia="宋体"/>
          <w:b/>
          <w:bCs/>
          <w:sz w:val="24"/>
        </w:rPr>
      </w:pPr>
      <w:r>
        <w:rPr>
          <w:rFonts w:ascii="宋体" w:hAnsi="宋体" w:eastAsia="宋体"/>
          <w:b/>
          <w:bCs/>
          <w:sz w:val="24"/>
        </w:rPr>
        <w:t>（三）授课时间</w:t>
      </w:r>
    </w:p>
    <w:p w14:paraId="7160EF42">
      <w:pPr>
        <w:spacing w:line="360" w:lineRule="auto"/>
        <w:ind w:firstLine="480" w:firstLineChars="200"/>
        <w:rPr>
          <w:rFonts w:ascii="宋体" w:hAnsi="宋体" w:eastAsia="宋体"/>
          <w:sz w:val="24"/>
        </w:rPr>
      </w:pPr>
      <w:r>
        <w:rPr>
          <w:rFonts w:ascii="宋体" w:hAnsi="宋体" w:eastAsia="宋体"/>
          <w:sz w:val="24"/>
        </w:rPr>
        <w:t>授课时间：集中授课，5月</w:t>
      </w:r>
      <w:r>
        <w:rPr>
          <w:rFonts w:hint="eastAsia" w:ascii="宋体" w:hAnsi="宋体" w:eastAsia="宋体"/>
          <w:sz w:val="24"/>
          <w:lang w:val="en-US" w:eastAsia="zh-CN"/>
        </w:rPr>
        <w:t>-</w:t>
      </w:r>
      <w:r>
        <w:rPr>
          <w:rFonts w:ascii="宋体" w:hAnsi="宋体" w:eastAsia="宋体"/>
          <w:sz w:val="24"/>
        </w:rPr>
        <w:t>6月。</w:t>
      </w:r>
    </w:p>
    <w:p w14:paraId="612840FE">
      <w:pPr>
        <w:spacing w:line="360" w:lineRule="auto"/>
        <w:ind w:firstLine="480" w:firstLineChars="200"/>
        <w:rPr>
          <w:rFonts w:hint="eastAsia" w:ascii="宋体" w:hAnsi="宋体" w:eastAsia="宋体"/>
          <w:sz w:val="24"/>
          <w:lang w:val="en-US" w:eastAsia="zh-CN"/>
        </w:rPr>
      </w:pPr>
      <w:r>
        <w:rPr>
          <w:rFonts w:ascii="宋体" w:hAnsi="宋体" w:eastAsia="宋体"/>
          <w:sz w:val="24"/>
        </w:rPr>
        <w:t>授课地点：海南师范大学桂林洋</w:t>
      </w:r>
      <w:r>
        <w:rPr>
          <w:rFonts w:hint="eastAsia" w:ascii="宋体" w:hAnsi="宋体" w:eastAsia="宋体"/>
          <w:sz w:val="24"/>
        </w:rPr>
        <w:t>校区</w:t>
      </w:r>
      <w:r>
        <w:rPr>
          <w:rFonts w:hint="eastAsia" w:ascii="宋体" w:hAnsi="宋体" w:eastAsia="宋体"/>
          <w:sz w:val="24"/>
          <w:lang w:val="en-US" w:eastAsia="zh-CN"/>
        </w:rPr>
        <w:t>旅游学院107数字化酒店实训室</w:t>
      </w:r>
    </w:p>
    <w:p w14:paraId="021B45DA">
      <w:pPr>
        <w:spacing w:line="360" w:lineRule="auto"/>
        <w:ind w:firstLine="480" w:firstLineChars="200"/>
        <w:rPr>
          <w:rFonts w:hint="eastAsia" w:ascii="宋体" w:hAnsi="宋体" w:eastAsia="宋体"/>
          <w:sz w:val="24"/>
          <w:lang w:val="en-US" w:eastAsia="zh-CN"/>
        </w:rPr>
      </w:pPr>
    </w:p>
    <w:p w14:paraId="06628AC4">
      <w:pPr>
        <w:spacing w:line="360" w:lineRule="auto"/>
        <w:rPr>
          <w:rFonts w:hint="eastAsia" w:ascii="宋体" w:hAnsi="宋体" w:eastAsia="宋体"/>
          <w:b/>
          <w:bCs/>
          <w:sz w:val="24"/>
          <w:lang w:val="en-US" w:eastAsia="zh-CN"/>
        </w:rPr>
      </w:pPr>
      <w:r>
        <w:rPr>
          <w:rFonts w:hint="eastAsia" w:ascii="宋体" w:hAnsi="宋体" w:eastAsia="宋体"/>
          <w:b/>
          <w:bCs/>
          <w:sz w:val="24"/>
        </w:rPr>
        <w:t>附件</w:t>
      </w:r>
      <w:r>
        <w:rPr>
          <w:rFonts w:hint="eastAsia" w:ascii="宋体" w:hAnsi="宋体" w:eastAsia="宋体"/>
          <w:b/>
          <w:bCs/>
          <w:sz w:val="24"/>
          <w:lang w:val="en-US" w:eastAsia="zh-CN"/>
        </w:rPr>
        <w:t>1：</w:t>
      </w:r>
      <w:r>
        <w:rPr>
          <w:rFonts w:hint="eastAsia" w:ascii="宋体" w:hAnsi="宋体" w:eastAsia="宋体"/>
          <w:b/>
          <w:bCs/>
          <w:sz w:val="24"/>
          <w:lang w:eastAsia="zh-CN"/>
        </w:rPr>
        <w:t>“</w:t>
      </w:r>
      <w:r>
        <w:rPr>
          <w:rFonts w:hint="eastAsia" w:ascii="宋体" w:hAnsi="宋体" w:eastAsia="宋体"/>
          <w:b/>
          <w:bCs/>
          <w:sz w:val="24"/>
          <w:lang w:val="en-US" w:eastAsia="zh-CN"/>
        </w:rPr>
        <w:t>美食、营养与健康”微专业报名表</w:t>
      </w:r>
    </w:p>
    <w:p w14:paraId="0D72470A">
      <w:pPr>
        <w:rPr>
          <w:sz w:val="24"/>
        </w:rPr>
      </w:pPr>
    </w:p>
    <w:p w14:paraId="741C0932">
      <w:pPr>
        <w:spacing w:line="360" w:lineRule="auto"/>
        <w:jc w:val="center"/>
        <w:rPr>
          <w:rFonts w:ascii="宋体" w:hAnsi="宋体" w:eastAsia="宋体"/>
          <w:b/>
          <w:bCs/>
          <w:sz w:val="28"/>
          <w:szCs w:val="28"/>
        </w:rPr>
      </w:pPr>
      <w:r>
        <w:rPr>
          <w:rFonts w:hint="eastAsia" w:ascii="宋体" w:hAnsi="宋体" w:eastAsia="宋体"/>
          <w:b/>
          <w:bCs/>
          <w:sz w:val="28"/>
          <w:szCs w:val="28"/>
          <w:lang w:val="en-US" w:eastAsia="zh-CN"/>
        </w:rPr>
        <w:t>“美食、营养与健康</w:t>
      </w:r>
      <w:r>
        <w:rPr>
          <w:rFonts w:hint="eastAsia" w:ascii="宋体" w:hAnsi="宋体" w:eastAsia="宋体"/>
          <w:b/>
          <w:bCs/>
          <w:sz w:val="28"/>
          <w:szCs w:val="28"/>
        </w:rPr>
        <w:t>”微专业报名表</w:t>
      </w:r>
    </w:p>
    <w:tbl>
      <w:tblPr>
        <w:tblStyle w:val="3"/>
        <w:tblW w:w="0" w:type="auto"/>
        <w:jc w:val="center"/>
        <w:tblCellSpacing w:w="15" w:type="dxa"/>
        <w:tblLayout w:type="autofit"/>
        <w:tblCellMar>
          <w:top w:w="15" w:type="dxa"/>
          <w:left w:w="15" w:type="dxa"/>
          <w:bottom w:w="15" w:type="dxa"/>
          <w:right w:w="15" w:type="dxa"/>
        </w:tblCellMar>
      </w:tblPr>
      <w:tblGrid>
        <w:gridCol w:w="1103"/>
        <w:gridCol w:w="1007"/>
        <w:gridCol w:w="994"/>
        <w:gridCol w:w="1621"/>
        <w:gridCol w:w="930"/>
        <w:gridCol w:w="2625"/>
      </w:tblGrid>
      <w:tr w14:paraId="0E02F4D4">
        <w:tblPrEx>
          <w:tblCellMar>
            <w:top w:w="15" w:type="dxa"/>
            <w:left w:w="15" w:type="dxa"/>
            <w:bottom w:w="15" w:type="dxa"/>
            <w:right w:w="15" w:type="dxa"/>
          </w:tblCellMar>
        </w:tblPrEx>
        <w:trPr>
          <w:trHeight w:val="524" w:hRule="atLeast"/>
          <w:tblCellSpacing w:w="15" w:type="dxa"/>
          <w:jc w:val="center"/>
        </w:trPr>
        <w:tc>
          <w:tcPr>
            <w:tcW w:w="8216" w:type="dxa"/>
            <w:gridSpan w:val="6"/>
            <w:tcBorders>
              <w:top w:val="single" w:color="000000" w:sz="12" w:space="0"/>
              <w:left w:val="single" w:color="000000" w:sz="12" w:space="0"/>
              <w:bottom w:val="single" w:color="000000" w:sz="6" w:space="0"/>
              <w:right w:val="single" w:color="000000" w:sz="12" w:space="0"/>
            </w:tcBorders>
            <w:shd w:val="clear" w:color="auto" w:fill="D9D9D9"/>
            <w:vAlign w:val="center"/>
          </w:tcPr>
          <w:p w14:paraId="7299B6B3">
            <w:pPr>
              <w:rPr>
                <w:b/>
                <w:bCs/>
              </w:rPr>
            </w:pPr>
            <w:r>
              <w:rPr>
                <w:b/>
                <w:bCs/>
              </w:rPr>
              <w:t>申请修读</w:t>
            </w:r>
            <w:r>
              <w:rPr>
                <w:rFonts w:hint="eastAsia"/>
                <w:b/>
                <w:bCs/>
              </w:rPr>
              <w:t>微</w:t>
            </w:r>
            <w:r>
              <w:rPr>
                <w:b/>
                <w:bCs/>
              </w:rPr>
              <w:t>专业信息</w:t>
            </w:r>
          </w:p>
        </w:tc>
      </w:tr>
      <w:tr w14:paraId="0325631B">
        <w:tblPrEx>
          <w:tblCellMar>
            <w:top w:w="15" w:type="dxa"/>
            <w:left w:w="15" w:type="dxa"/>
            <w:bottom w:w="15" w:type="dxa"/>
            <w:right w:w="15" w:type="dxa"/>
          </w:tblCellMar>
        </w:tblPrEx>
        <w:trPr>
          <w:tblCellSpacing w:w="15" w:type="dxa"/>
          <w:jc w:val="center"/>
        </w:trPr>
        <w:tc>
          <w:tcPr>
            <w:tcW w:w="1058" w:type="dxa"/>
            <w:tcBorders>
              <w:top w:val="nil"/>
              <w:left w:val="single" w:color="000000" w:sz="12" w:space="0"/>
              <w:bottom w:val="single" w:color="000000" w:sz="6" w:space="0"/>
              <w:right w:val="single" w:color="000000" w:sz="8" w:space="0"/>
            </w:tcBorders>
            <w:vAlign w:val="center"/>
          </w:tcPr>
          <w:p w14:paraId="22772FFA">
            <w:r>
              <w:rPr>
                <w:rFonts w:hint="eastAsia"/>
              </w:rPr>
              <w:t>培养单位</w:t>
            </w:r>
          </w:p>
        </w:tc>
        <w:tc>
          <w:tcPr>
            <w:tcW w:w="977" w:type="dxa"/>
            <w:tcBorders>
              <w:top w:val="nil"/>
              <w:left w:val="nil"/>
              <w:bottom w:val="single" w:color="000000" w:sz="6" w:space="0"/>
              <w:right w:val="single" w:color="000000" w:sz="8" w:space="0"/>
            </w:tcBorders>
            <w:vAlign w:val="center"/>
          </w:tcPr>
          <w:p w14:paraId="0CE87D61">
            <w:pPr>
              <w:jc w:val="left"/>
            </w:pPr>
            <w:r>
              <w:rPr>
                <w:rFonts w:hint="eastAsia"/>
              </w:rPr>
              <w:t>海南</w:t>
            </w:r>
            <w:r>
              <w:rPr>
                <w:rFonts w:hint="eastAsia"/>
                <w:lang w:val="en-US" w:eastAsia="zh-CN"/>
              </w:rPr>
              <w:t>师范大学旅游</w:t>
            </w:r>
            <w:r>
              <w:rPr>
                <w:rFonts w:hint="eastAsia"/>
              </w:rPr>
              <w:t>学院</w:t>
            </w:r>
          </w:p>
        </w:tc>
        <w:tc>
          <w:tcPr>
            <w:tcW w:w="964" w:type="dxa"/>
            <w:tcBorders>
              <w:top w:val="nil"/>
              <w:left w:val="nil"/>
              <w:bottom w:val="single" w:color="000000" w:sz="6" w:space="0"/>
              <w:right w:val="single" w:color="000000" w:sz="8" w:space="0"/>
            </w:tcBorders>
            <w:vAlign w:val="center"/>
          </w:tcPr>
          <w:p w14:paraId="4E1EAEC8">
            <w:pPr>
              <w:jc w:val="left"/>
            </w:pPr>
            <w:r>
              <w:rPr>
                <w:rFonts w:hint="eastAsia"/>
              </w:rPr>
              <w:t>微专业</w:t>
            </w:r>
          </w:p>
        </w:tc>
        <w:tc>
          <w:tcPr>
            <w:tcW w:w="1591" w:type="dxa"/>
            <w:tcBorders>
              <w:top w:val="nil"/>
              <w:left w:val="nil"/>
              <w:bottom w:val="single" w:color="000000" w:sz="6" w:space="0"/>
              <w:right w:val="single" w:color="000000" w:sz="8" w:space="0"/>
            </w:tcBorders>
            <w:vAlign w:val="center"/>
          </w:tcPr>
          <w:p w14:paraId="0A23FF82">
            <w:pPr>
              <w:jc w:val="left"/>
              <w:rPr>
                <w:rFonts w:hint="default" w:eastAsiaTheme="minorEastAsia"/>
                <w:lang w:val="en-US" w:eastAsia="zh-CN"/>
              </w:rPr>
            </w:pPr>
            <w:r>
              <w:rPr>
                <w:rFonts w:hint="eastAsia"/>
                <w:lang w:val="en-US" w:eastAsia="zh-CN"/>
              </w:rPr>
              <w:t>美食、营养与健康</w:t>
            </w:r>
          </w:p>
        </w:tc>
        <w:tc>
          <w:tcPr>
            <w:tcW w:w="900" w:type="dxa"/>
            <w:tcBorders>
              <w:top w:val="nil"/>
              <w:left w:val="nil"/>
              <w:bottom w:val="single" w:color="000000" w:sz="6" w:space="0"/>
              <w:right w:val="single" w:color="000000" w:sz="8" w:space="0"/>
            </w:tcBorders>
            <w:vAlign w:val="center"/>
          </w:tcPr>
          <w:p w14:paraId="220DD154">
            <w:pPr>
              <w:jc w:val="left"/>
            </w:pPr>
            <w:r>
              <w:rPr>
                <w:rFonts w:hint="eastAsia"/>
              </w:rPr>
              <w:t>联系方式</w:t>
            </w:r>
          </w:p>
        </w:tc>
        <w:tc>
          <w:tcPr>
            <w:tcW w:w="2576" w:type="dxa"/>
            <w:tcBorders>
              <w:top w:val="nil"/>
              <w:left w:val="nil"/>
              <w:bottom w:val="single" w:color="000000" w:sz="6" w:space="0"/>
              <w:right w:val="single" w:color="000000" w:sz="12" w:space="0"/>
            </w:tcBorders>
            <w:vAlign w:val="center"/>
          </w:tcPr>
          <w:p w14:paraId="072458B6">
            <w:pPr>
              <w:jc w:val="left"/>
            </w:pPr>
            <w:r>
              <w:rPr>
                <w:rFonts w:hint="eastAsia"/>
                <w:lang w:val="en-US" w:eastAsia="zh-CN"/>
              </w:rPr>
              <w:t>刀老师</w:t>
            </w:r>
            <w:r>
              <w:rPr>
                <w:rFonts w:hint="eastAsia"/>
              </w:rPr>
              <w:t>：</w:t>
            </w:r>
            <w:r>
              <w:rPr>
                <w:rFonts w:hint="eastAsia"/>
                <w:lang w:val="en-US" w:eastAsia="zh-CN"/>
              </w:rPr>
              <w:t>0898-65567583</w:t>
            </w:r>
            <w:r>
              <w:rPr>
                <w:rFonts w:hint="eastAsia"/>
              </w:rPr>
              <w:t>，</w:t>
            </w:r>
          </w:p>
          <w:p w14:paraId="186C05C0">
            <w:pPr>
              <w:jc w:val="left"/>
            </w:pPr>
            <w:r>
              <w:rPr>
                <w:rFonts w:hint="eastAsia" w:ascii="宋体" w:hAnsi="宋体" w:eastAsia="宋体"/>
                <w:sz w:val="24"/>
              </w:rPr>
              <w:t>lyxyjwb@hainnu.edu.cn</w:t>
            </w:r>
          </w:p>
        </w:tc>
      </w:tr>
      <w:tr w14:paraId="5C7FFA1D">
        <w:tblPrEx>
          <w:tblCellMar>
            <w:top w:w="15" w:type="dxa"/>
            <w:left w:w="15" w:type="dxa"/>
            <w:bottom w:w="15" w:type="dxa"/>
            <w:right w:w="15" w:type="dxa"/>
          </w:tblCellMar>
        </w:tblPrEx>
        <w:trPr>
          <w:trHeight w:val="583" w:hRule="atLeast"/>
          <w:tblCellSpacing w:w="15" w:type="dxa"/>
          <w:jc w:val="center"/>
        </w:trPr>
        <w:tc>
          <w:tcPr>
            <w:tcW w:w="8216" w:type="dxa"/>
            <w:gridSpan w:val="6"/>
            <w:tcBorders>
              <w:top w:val="nil"/>
              <w:left w:val="single" w:color="000000" w:sz="12" w:space="0"/>
              <w:bottom w:val="single" w:color="000000" w:sz="6" w:space="0"/>
              <w:right w:val="single" w:color="000000" w:sz="12" w:space="0"/>
            </w:tcBorders>
            <w:shd w:val="clear" w:color="auto" w:fill="D9D9D9"/>
            <w:vAlign w:val="center"/>
          </w:tcPr>
          <w:p w14:paraId="4C57B9CE">
            <w:pPr>
              <w:rPr>
                <w:b/>
                <w:bCs/>
              </w:rPr>
            </w:pPr>
            <w:r>
              <w:rPr>
                <w:b/>
                <w:bCs/>
              </w:rPr>
              <w:t>申请</w:t>
            </w:r>
            <w:r>
              <w:rPr>
                <w:rFonts w:hint="eastAsia"/>
                <w:b/>
                <w:bCs/>
              </w:rPr>
              <w:t>人</w:t>
            </w:r>
            <w:r>
              <w:rPr>
                <w:b/>
                <w:bCs/>
              </w:rPr>
              <w:t>信息</w:t>
            </w:r>
          </w:p>
        </w:tc>
      </w:tr>
      <w:tr w14:paraId="6F37980E">
        <w:tblPrEx>
          <w:tblCellMar>
            <w:top w:w="15" w:type="dxa"/>
            <w:left w:w="15" w:type="dxa"/>
            <w:bottom w:w="15" w:type="dxa"/>
            <w:right w:w="15" w:type="dxa"/>
          </w:tblCellMar>
        </w:tblPrEx>
        <w:trPr>
          <w:trHeight w:val="542" w:hRule="atLeast"/>
          <w:tblCellSpacing w:w="15" w:type="dxa"/>
          <w:jc w:val="center"/>
        </w:trPr>
        <w:tc>
          <w:tcPr>
            <w:tcW w:w="1058" w:type="dxa"/>
            <w:tcBorders>
              <w:top w:val="nil"/>
              <w:left w:val="single" w:color="000000" w:sz="12" w:space="0"/>
              <w:bottom w:val="single" w:color="000000" w:sz="6" w:space="0"/>
              <w:right w:val="single" w:color="000000" w:sz="8" w:space="0"/>
            </w:tcBorders>
            <w:vAlign w:val="center"/>
          </w:tcPr>
          <w:p w14:paraId="34AB190E">
            <w:r>
              <w:rPr>
                <w:rFonts w:hint="eastAsia"/>
              </w:rPr>
              <w:t>姓名</w:t>
            </w:r>
          </w:p>
        </w:tc>
        <w:tc>
          <w:tcPr>
            <w:tcW w:w="977" w:type="dxa"/>
            <w:tcBorders>
              <w:top w:val="nil"/>
              <w:left w:val="nil"/>
              <w:bottom w:val="single" w:color="000000" w:sz="6" w:space="0"/>
              <w:right w:val="single" w:color="000000" w:sz="8" w:space="0"/>
            </w:tcBorders>
            <w:vAlign w:val="center"/>
          </w:tcPr>
          <w:p w14:paraId="22ED04DB">
            <w:pPr>
              <w:ind w:firstLine="420" w:firstLineChars="200"/>
            </w:pPr>
          </w:p>
        </w:tc>
        <w:tc>
          <w:tcPr>
            <w:tcW w:w="964" w:type="dxa"/>
            <w:tcBorders>
              <w:top w:val="nil"/>
              <w:left w:val="nil"/>
              <w:bottom w:val="single" w:color="000000" w:sz="6" w:space="0"/>
              <w:right w:val="single" w:color="000000" w:sz="8" w:space="0"/>
            </w:tcBorders>
            <w:vAlign w:val="center"/>
          </w:tcPr>
          <w:p w14:paraId="79E00612">
            <w:pPr>
              <w:jc w:val="left"/>
            </w:pPr>
            <w:r>
              <w:rPr>
                <w:rFonts w:hint="eastAsia"/>
              </w:rPr>
              <w:t>学号</w:t>
            </w:r>
          </w:p>
        </w:tc>
        <w:tc>
          <w:tcPr>
            <w:tcW w:w="1591" w:type="dxa"/>
            <w:tcBorders>
              <w:top w:val="nil"/>
              <w:left w:val="nil"/>
              <w:bottom w:val="single" w:color="000000" w:sz="6" w:space="0"/>
              <w:right w:val="single" w:color="000000" w:sz="8" w:space="0"/>
            </w:tcBorders>
            <w:vAlign w:val="center"/>
          </w:tcPr>
          <w:p w14:paraId="2255C971">
            <w:pPr>
              <w:ind w:firstLine="420" w:firstLineChars="200"/>
              <w:jc w:val="left"/>
            </w:pPr>
          </w:p>
        </w:tc>
        <w:tc>
          <w:tcPr>
            <w:tcW w:w="900" w:type="dxa"/>
            <w:tcBorders>
              <w:top w:val="nil"/>
              <w:left w:val="nil"/>
              <w:bottom w:val="single" w:color="000000" w:sz="6" w:space="0"/>
              <w:right w:val="single" w:color="000000" w:sz="8" w:space="0"/>
            </w:tcBorders>
            <w:vAlign w:val="center"/>
          </w:tcPr>
          <w:p w14:paraId="501DB2EA">
            <w:pPr>
              <w:jc w:val="left"/>
            </w:pPr>
            <w:r>
              <w:rPr>
                <w:rFonts w:hint="eastAsia"/>
              </w:rPr>
              <w:t>年级</w:t>
            </w:r>
          </w:p>
        </w:tc>
        <w:tc>
          <w:tcPr>
            <w:tcW w:w="2576" w:type="dxa"/>
            <w:tcBorders>
              <w:top w:val="nil"/>
              <w:left w:val="nil"/>
              <w:bottom w:val="single" w:color="000000" w:sz="6" w:space="0"/>
              <w:right w:val="single" w:color="000000" w:sz="12" w:space="0"/>
            </w:tcBorders>
            <w:vAlign w:val="center"/>
          </w:tcPr>
          <w:p w14:paraId="1E65A40F">
            <w:pPr>
              <w:ind w:firstLine="420" w:firstLineChars="200"/>
            </w:pPr>
            <w:r>
              <w:rPr>
                <w:rFonts w:hint="eastAsia"/>
              </w:rPr>
              <w:t>2021级 □ 2022级 □</w:t>
            </w:r>
          </w:p>
          <w:p w14:paraId="3C53A040">
            <w:pPr>
              <w:ind w:firstLine="420" w:firstLineChars="200"/>
            </w:pPr>
            <w:r>
              <w:rPr>
                <w:rFonts w:hint="eastAsia"/>
              </w:rPr>
              <w:t>2023级 □ 2024级 □</w:t>
            </w:r>
          </w:p>
        </w:tc>
      </w:tr>
      <w:tr w14:paraId="6D7BA231">
        <w:tblPrEx>
          <w:tblCellMar>
            <w:top w:w="15" w:type="dxa"/>
            <w:left w:w="15" w:type="dxa"/>
            <w:bottom w:w="15" w:type="dxa"/>
            <w:right w:w="15" w:type="dxa"/>
          </w:tblCellMar>
        </w:tblPrEx>
        <w:trPr>
          <w:trHeight w:val="636" w:hRule="atLeast"/>
          <w:tblCellSpacing w:w="15" w:type="dxa"/>
          <w:jc w:val="center"/>
        </w:trPr>
        <w:tc>
          <w:tcPr>
            <w:tcW w:w="1058" w:type="dxa"/>
            <w:tcBorders>
              <w:top w:val="nil"/>
              <w:left w:val="single" w:color="000000" w:sz="12" w:space="0"/>
              <w:bottom w:val="single" w:color="000000" w:sz="6" w:space="0"/>
              <w:right w:val="single" w:color="000000" w:sz="8" w:space="0"/>
            </w:tcBorders>
            <w:vAlign w:val="center"/>
          </w:tcPr>
          <w:p w14:paraId="42D14500">
            <w:r>
              <w:rPr>
                <w:rFonts w:hint="eastAsia"/>
              </w:rPr>
              <w:t>所在学院</w:t>
            </w:r>
          </w:p>
        </w:tc>
        <w:tc>
          <w:tcPr>
            <w:tcW w:w="977" w:type="dxa"/>
            <w:tcBorders>
              <w:top w:val="nil"/>
              <w:left w:val="nil"/>
              <w:bottom w:val="single" w:color="000000" w:sz="6" w:space="0"/>
              <w:right w:val="single" w:color="000000" w:sz="8" w:space="0"/>
            </w:tcBorders>
            <w:vAlign w:val="center"/>
          </w:tcPr>
          <w:p w14:paraId="7150EAD6">
            <w:pPr>
              <w:ind w:firstLine="420" w:firstLineChars="200"/>
            </w:pPr>
          </w:p>
        </w:tc>
        <w:tc>
          <w:tcPr>
            <w:tcW w:w="964" w:type="dxa"/>
            <w:tcBorders>
              <w:top w:val="nil"/>
              <w:left w:val="nil"/>
              <w:bottom w:val="single" w:color="000000" w:sz="6" w:space="0"/>
              <w:right w:val="single" w:color="000000" w:sz="8" w:space="0"/>
            </w:tcBorders>
            <w:vAlign w:val="center"/>
          </w:tcPr>
          <w:p w14:paraId="484E0BC7">
            <w:pPr>
              <w:jc w:val="left"/>
            </w:pPr>
            <w:r>
              <w:rPr>
                <w:rFonts w:hint="eastAsia"/>
              </w:rPr>
              <w:t>专业</w:t>
            </w:r>
          </w:p>
        </w:tc>
        <w:tc>
          <w:tcPr>
            <w:tcW w:w="1591" w:type="dxa"/>
            <w:tcBorders>
              <w:top w:val="nil"/>
              <w:left w:val="nil"/>
              <w:bottom w:val="single" w:color="000000" w:sz="6" w:space="0"/>
              <w:right w:val="single" w:color="000000" w:sz="8" w:space="0"/>
            </w:tcBorders>
            <w:vAlign w:val="center"/>
          </w:tcPr>
          <w:p w14:paraId="7526AAD4">
            <w:pPr>
              <w:ind w:firstLine="420" w:firstLineChars="200"/>
              <w:jc w:val="left"/>
            </w:pPr>
          </w:p>
        </w:tc>
        <w:tc>
          <w:tcPr>
            <w:tcW w:w="900" w:type="dxa"/>
            <w:tcBorders>
              <w:top w:val="nil"/>
              <w:left w:val="nil"/>
              <w:bottom w:val="single" w:color="000000" w:sz="6" w:space="0"/>
              <w:right w:val="single" w:color="000000" w:sz="8" w:space="0"/>
            </w:tcBorders>
            <w:vAlign w:val="center"/>
          </w:tcPr>
          <w:p w14:paraId="6774898A">
            <w:pPr>
              <w:jc w:val="left"/>
            </w:pPr>
            <w:r>
              <w:rPr>
                <w:rFonts w:hint="eastAsia"/>
              </w:rPr>
              <w:t>电子邮箱</w:t>
            </w:r>
          </w:p>
        </w:tc>
        <w:tc>
          <w:tcPr>
            <w:tcW w:w="2576" w:type="dxa"/>
            <w:tcBorders>
              <w:top w:val="nil"/>
              <w:left w:val="nil"/>
              <w:bottom w:val="single" w:color="000000" w:sz="6" w:space="0"/>
              <w:right w:val="single" w:color="000000" w:sz="12" w:space="0"/>
            </w:tcBorders>
            <w:vAlign w:val="center"/>
          </w:tcPr>
          <w:p w14:paraId="7CCD5D27">
            <w:pPr>
              <w:ind w:firstLine="420" w:firstLineChars="200"/>
            </w:pPr>
          </w:p>
        </w:tc>
      </w:tr>
      <w:tr w14:paraId="5A9CECA4">
        <w:tblPrEx>
          <w:tblCellMar>
            <w:top w:w="15" w:type="dxa"/>
            <w:left w:w="15" w:type="dxa"/>
            <w:bottom w:w="15" w:type="dxa"/>
            <w:right w:w="15" w:type="dxa"/>
          </w:tblCellMar>
        </w:tblPrEx>
        <w:trPr>
          <w:trHeight w:val="704" w:hRule="atLeast"/>
          <w:tblCellSpacing w:w="15" w:type="dxa"/>
          <w:jc w:val="center"/>
        </w:trPr>
        <w:tc>
          <w:tcPr>
            <w:tcW w:w="1058" w:type="dxa"/>
            <w:tcBorders>
              <w:top w:val="nil"/>
              <w:left w:val="single" w:color="000000" w:sz="12" w:space="0"/>
              <w:bottom w:val="single" w:color="000000" w:sz="6" w:space="0"/>
              <w:right w:val="single" w:color="000000" w:sz="8" w:space="0"/>
            </w:tcBorders>
            <w:vAlign w:val="center"/>
          </w:tcPr>
          <w:p w14:paraId="3B0A29E9">
            <w:r>
              <w:rPr>
                <w:rFonts w:hint="eastAsia"/>
              </w:rPr>
              <w:t>平均绩点</w:t>
            </w:r>
          </w:p>
        </w:tc>
        <w:tc>
          <w:tcPr>
            <w:tcW w:w="977" w:type="dxa"/>
            <w:tcBorders>
              <w:top w:val="nil"/>
              <w:left w:val="nil"/>
              <w:bottom w:val="single" w:color="000000" w:sz="6" w:space="0"/>
              <w:right w:val="single" w:color="000000" w:sz="8" w:space="0"/>
            </w:tcBorders>
            <w:vAlign w:val="center"/>
          </w:tcPr>
          <w:p w14:paraId="0FF6B015">
            <w:pPr>
              <w:ind w:firstLine="420" w:firstLineChars="200"/>
            </w:pPr>
          </w:p>
        </w:tc>
        <w:tc>
          <w:tcPr>
            <w:tcW w:w="964" w:type="dxa"/>
            <w:tcBorders>
              <w:top w:val="nil"/>
              <w:left w:val="nil"/>
              <w:bottom w:val="single" w:color="000000" w:sz="6" w:space="0"/>
              <w:right w:val="single" w:color="000000" w:sz="8" w:space="0"/>
            </w:tcBorders>
            <w:vAlign w:val="center"/>
          </w:tcPr>
          <w:p w14:paraId="05CDC058">
            <w:pPr>
              <w:jc w:val="left"/>
            </w:pPr>
            <w:r>
              <w:rPr>
                <w:rFonts w:hint="eastAsia"/>
              </w:rPr>
              <w:t>联系电话</w:t>
            </w:r>
          </w:p>
        </w:tc>
        <w:tc>
          <w:tcPr>
            <w:tcW w:w="1591" w:type="dxa"/>
            <w:tcBorders>
              <w:top w:val="nil"/>
              <w:left w:val="nil"/>
              <w:bottom w:val="single" w:color="000000" w:sz="6" w:space="0"/>
              <w:right w:val="single" w:color="000000" w:sz="8" w:space="0"/>
            </w:tcBorders>
            <w:vAlign w:val="center"/>
          </w:tcPr>
          <w:p w14:paraId="4158919D">
            <w:pPr>
              <w:ind w:firstLine="420" w:firstLineChars="200"/>
              <w:jc w:val="left"/>
            </w:pPr>
          </w:p>
        </w:tc>
        <w:tc>
          <w:tcPr>
            <w:tcW w:w="900" w:type="dxa"/>
            <w:tcBorders>
              <w:top w:val="nil"/>
              <w:left w:val="nil"/>
              <w:bottom w:val="single" w:color="000000" w:sz="6" w:space="0"/>
              <w:right w:val="single" w:color="000000" w:sz="8" w:space="0"/>
            </w:tcBorders>
            <w:vAlign w:val="center"/>
          </w:tcPr>
          <w:p w14:paraId="7DD6FCDD">
            <w:pPr>
              <w:jc w:val="left"/>
              <w:rPr>
                <w:rFonts w:hint="default" w:eastAsiaTheme="minorEastAsia"/>
                <w:lang w:val="en-US" w:eastAsia="zh-CN"/>
              </w:rPr>
            </w:pPr>
          </w:p>
        </w:tc>
        <w:tc>
          <w:tcPr>
            <w:tcW w:w="2576" w:type="dxa"/>
            <w:tcBorders>
              <w:top w:val="nil"/>
              <w:left w:val="nil"/>
              <w:bottom w:val="single" w:color="000000" w:sz="6" w:space="0"/>
              <w:right w:val="single" w:color="000000" w:sz="12" w:space="0"/>
            </w:tcBorders>
            <w:vAlign w:val="center"/>
          </w:tcPr>
          <w:p w14:paraId="3BAF9968">
            <w:pPr>
              <w:ind w:firstLine="420" w:firstLineChars="200"/>
            </w:pPr>
          </w:p>
        </w:tc>
      </w:tr>
      <w:tr w14:paraId="65DD662E">
        <w:tblPrEx>
          <w:tblCellMar>
            <w:top w:w="15" w:type="dxa"/>
            <w:left w:w="15" w:type="dxa"/>
            <w:bottom w:w="15" w:type="dxa"/>
            <w:right w:w="15" w:type="dxa"/>
          </w:tblCellMar>
        </w:tblPrEx>
        <w:trPr>
          <w:tblCellSpacing w:w="15" w:type="dxa"/>
          <w:jc w:val="center"/>
        </w:trPr>
        <w:tc>
          <w:tcPr>
            <w:tcW w:w="1058" w:type="dxa"/>
            <w:tcBorders>
              <w:top w:val="nil"/>
              <w:left w:val="single" w:color="000000" w:sz="12" w:space="0"/>
              <w:bottom w:val="single" w:color="000000" w:sz="12" w:space="0"/>
              <w:right w:val="single" w:color="000000" w:sz="8" w:space="0"/>
            </w:tcBorders>
            <w:vAlign w:val="center"/>
          </w:tcPr>
          <w:p w14:paraId="512F42D1">
            <w:r>
              <w:rPr>
                <w:rFonts w:hint="eastAsia"/>
              </w:rPr>
              <w:t>辅导员姓名</w:t>
            </w:r>
          </w:p>
        </w:tc>
        <w:tc>
          <w:tcPr>
            <w:tcW w:w="977" w:type="dxa"/>
            <w:tcBorders>
              <w:top w:val="nil"/>
              <w:left w:val="nil"/>
              <w:bottom w:val="single" w:color="000000" w:sz="12" w:space="0"/>
              <w:right w:val="single" w:color="000000" w:sz="8" w:space="0"/>
            </w:tcBorders>
            <w:vAlign w:val="center"/>
          </w:tcPr>
          <w:p w14:paraId="1D2333B4">
            <w:pPr>
              <w:ind w:firstLine="420" w:firstLineChars="200"/>
            </w:pPr>
          </w:p>
        </w:tc>
        <w:tc>
          <w:tcPr>
            <w:tcW w:w="964" w:type="dxa"/>
            <w:tcBorders>
              <w:top w:val="nil"/>
              <w:left w:val="nil"/>
              <w:bottom w:val="single" w:color="000000" w:sz="12" w:space="0"/>
              <w:right w:val="single" w:color="000000" w:sz="8" w:space="0"/>
            </w:tcBorders>
            <w:vAlign w:val="center"/>
          </w:tcPr>
          <w:p w14:paraId="6A8349D1">
            <w:pPr>
              <w:jc w:val="left"/>
            </w:pPr>
            <w:r>
              <w:rPr>
                <w:rFonts w:hint="eastAsia"/>
              </w:rPr>
              <w:t>辅导员</w:t>
            </w:r>
          </w:p>
          <w:p w14:paraId="49B3D76D">
            <w:pPr>
              <w:jc w:val="left"/>
            </w:pPr>
            <w:r>
              <w:rPr>
                <w:rFonts w:hint="eastAsia"/>
              </w:rPr>
              <w:t>联系电话</w:t>
            </w:r>
          </w:p>
        </w:tc>
        <w:tc>
          <w:tcPr>
            <w:tcW w:w="1591" w:type="dxa"/>
            <w:tcBorders>
              <w:top w:val="nil"/>
              <w:left w:val="nil"/>
              <w:bottom w:val="single" w:color="000000" w:sz="12" w:space="0"/>
              <w:right w:val="single" w:color="000000" w:sz="8" w:space="0"/>
            </w:tcBorders>
            <w:vAlign w:val="center"/>
          </w:tcPr>
          <w:p w14:paraId="135C5E25">
            <w:pPr>
              <w:ind w:firstLine="420" w:firstLineChars="200"/>
              <w:jc w:val="left"/>
            </w:pPr>
          </w:p>
        </w:tc>
        <w:tc>
          <w:tcPr>
            <w:tcW w:w="900" w:type="dxa"/>
            <w:tcBorders>
              <w:top w:val="nil"/>
              <w:left w:val="nil"/>
              <w:bottom w:val="single" w:color="000000" w:sz="12" w:space="0"/>
              <w:right w:val="single" w:color="000000" w:sz="8" w:space="0"/>
            </w:tcBorders>
            <w:vAlign w:val="center"/>
          </w:tcPr>
          <w:p w14:paraId="59947A58">
            <w:pPr>
              <w:jc w:val="left"/>
            </w:pPr>
            <w:r>
              <w:rPr>
                <w:rFonts w:hint="eastAsia"/>
              </w:rPr>
              <w:t>申请人</w:t>
            </w:r>
          </w:p>
          <w:p w14:paraId="3026780F">
            <w:pPr>
              <w:jc w:val="left"/>
            </w:pPr>
            <w:r>
              <w:rPr>
                <w:rFonts w:hint="eastAsia"/>
              </w:rPr>
              <w:t>签名</w:t>
            </w:r>
          </w:p>
        </w:tc>
        <w:tc>
          <w:tcPr>
            <w:tcW w:w="2576" w:type="dxa"/>
            <w:tcBorders>
              <w:top w:val="nil"/>
              <w:left w:val="nil"/>
              <w:bottom w:val="single" w:color="000000" w:sz="12" w:space="0"/>
              <w:right w:val="single" w:color="000000" w:sz="12" w:space="0"/>
            </w:tcBorders>
            <w:vAlign w:val="center"/>
          </w:tcPr>
          <w:p w14:paraId="4ED8951D">
            <w:pPr>
              <w:ind w:firstLine="420" w:firstLineChars="200"/>
            </w:pPr>
          </w:p>
        </w:tc>
      </w:tr>
    </w:tbl>
    <w:p w14:paraId="1C700832">
      <w:pPr>
        <w:spacing w:line="360" w:lineRule="auto"/>
        <w:ind w:firstLine="480" w:firstLineChars="200"/>
        <w:rPr>
          <w:rFonts w:hint="default" w:ascii="宋体" w:hAnsi="宋体" w:eastAsia="宋体"/>
          <w:sz w:val="24"/>
          <w:lang w:val="en-US" w:eastAsia="zh-CN"/>
        </w:rPr>
      </w:pPr>
    </w:p>
    <w:p w14:paraId="16331729">
      <w:pPr>
        <w:spacing w:line="360" w:lineRule="auto"/>
        <w:ind w:firstLine="480" w:firstLineChars="200"/>
        <w:rPr>
          <w:rFonts w:ascii="宋体" w:hAnsi="宋体" w:eastAsia="宋体"/>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EAC"/>
    <w:rsid w:val="00014EA6"/>
    <w:rsid w:val="001A2434"/>
    <w:rsid w:val="001E34DA"/>
    <w:rsid w:val="001E410C"/>
    <w:rsid w:val="002400F4"/>
    <w:rsid w:val="004F795F"/>
    <w:rsid w:val="00542DDA"/>
    <w:rsid w:val="00610C89"/>
    <w:rsid w:val="00702C95"/>
    <w:rsid w:val="007B5A0F"/>
    <w:rsid w:val="007C33F2"/>
    <w:rsid w:val="008973CF"/>
    <w:rsid w:val="008F6491"/>
    <w:rsid w:val="0093435D"/>
    <w:rsid w:val="009A3E35"/>
    <w:rsid w:val="00A32DC6"/>
    <w:rsid w:val="00A456B8"/>
    <w:rsid w:val="00A76D6D"/>
    <w:rsid w:val="00A80524"/>
    <w:rsid w:val="00B36EAC"/>
    <w:rsid w:val="00B61798"/>
    <w:rsid w:val="00B70BB6"/>
    <w:rsid w:val="00C40754"/>
    <w:rsid w:val="00DC5204"/>
    <w:rsid w:val="00DD19B5"/>
    <w:rsid w:val="00E36609"/>
    <w:rsid w:val="00E376A5"/>
    <w:rsid w:val="00E9057D"/>
    <w:rsid w:val="00EA06FD"/>
    <w:rsid w:val="00F12650"/>
    <w:rsid w:val="00F87687"/>
    <w:rsid w:val="06FDA903"/>
    <w:rsid w:val="0E362173"/>
    <w:rsid w:val="0F8C335A"/>
    <w:rsid w:val="0FE7242D"/>
    <w:rsid w:val="177BC022"/>
    <w:rsid w:val="1BBCCC90"/>
    <w:rsid w:val="1ECB141F"/>
    <w:rsid w:val="1F97C946"/>
    <w:rsid w:val="1FBDC3AB"/>
    <w:rsid w:val="1FBF63C5"/>
    <w:rsid w:val="29EFEA48"/>
    <w:rsid w:val="2AF68012"/>
    <w:rsid w:val="2DBE3A24"/>
    <w:rsid w:val="2DDF9AAE"/>
    <w:rsid w:val="2EBB543F"/>
    <w:rsid w:val="2F5FD07A"/>
    <w:rsid w:val="2FE68B9A"/>
    <w:rsid w:val="2FFFA4B8"/>
    <w:rsid w:val="35B7425A"/>
    <w:rsid w:val="383EDD4E"/>
    <w:rsid w:val="3AFFD5DB"/>
    <w:rsid w:val="3D1E941A"/>
    <w:rsid w:val="3E7E8F4D"/>
    <w:rsid w:val="3EF6FA1B"/>
    <w:rsid w:val="3F47C54C"/>
    <w:rsid w:val="3F9D0DE4"/>
    <w:rsid w:val="3FB76F8F"/>
    <w:rsid w:val="3FBE21C1"/>
    <w:rsid w:val="3FBF45B0"/>
    <w:rsid w:val="4CFBC49D"/>
    <w:rsid w:val="4E93B943"/>
    <w:rsid w:val="4F3F0B98"/>
    <w:rsid w:val="53AB6A5A"/>
    <w:rsid w:val="577F2A26"/>
    <w:rsid w:val="57DFE94B"/>
    <w:rsid w:val="57F78E05"/>
    <w:rsid w:val="57FD9571"/>
    <w:rsid w:val="5BC3368C"/>
    <w:rsid w:val="5BFA48E7"/>
    <w:rsid w:val="5BFFE46F"/>
    <w:rsid w:val="5DEBEE2B"/>
    <w:rsid w:val="5EEB9A5D"/>
    <w:rsid w:val="5EFFBC35"/>
    <w:rsid w:val="5F7C60D1"/>
    <w:rsid w:val="5FFD7D93"/>
    <w:rsid w:val="5FFFDD90"/>
    <w:rsid w:val="65FFAE44"/>
    <w:rsid w:val="672EBDFD"/>
    <w:rsid w:val="6BB35CDB"/>
    <w:rsid w:val="6BE5F8B1"/>
    <w:rsid w:val="6BF99A3E"/>
    <w:rsid w:val="6CF37028"/>
    <w:rsid w:val="6DEE839F"/>
    <w:rsid w:val="6EFEE6A3"/>
    <w:rsid w:val="6F5768C1"/>
    <w:rsid w:val="6F7596AD"/>
    <w:rsid w:val="6F7FBF39"/>
    <w:rsid w:val="6F9FAB12"/>
    <w:rsid w:val="6FD8BE40"/>
    <w:rsid w:val="6FEFD635"/>
    <w:rsid w:val="6FFF0E6A"/>
    <w:rsid w:val="70553358"/>
    <w:rsid w:val="715FE45E"/>
    <w:rsid w:val="72AD80D0"/>
    <w:rsid w:val="73F75412"/>
    <w:rsid w:val="74E72F8F"/>
    <w:rsid w:val="76FA4DDD"/>
    <w:rsid w:val="777D1B53"/>
    <w:rsid w:val="77B69C27"/>
    <w:rsid w:val="77CFEF9E"/>
    <w:rsid w:val="77DA0E81"/>
    <w:rsid w:val="77F72707"/>
    <w:rsid w:val="77F91B60"/>
    <w:rsid w:val="794B5B9C"/>
    <w:rsid w:val="79FB4833"/>
    <w:rsid w:val="7A1F1FB6"/>
    <w:rsid w:val="7A97BC1E"/>
    <w:rsid w:val="7BBD088F"/>
    <w:rsid w:val="7BDD7532"/>
    <w:rsid w:val="7BE778C6"/>
    <w:rsid w:val="7CDE1822"/>
    <w:rsid w:val="7D7BAB70"/>
    <w:rsid w:val="7D7F22B0"/>
    <w:rsid w:val="7DC70BBB"/>
    <w:rsid w:val="7DF932E1"/>
    <w:rsid w:val="7DFE77BA"/>
    <w:rsid w:val="7DFF3BCA"/>
    <w:rsid w:val="7E7F3B17"/>
    <w:rsid w:val="7E97506A"/>
    <w:rsid w:val="7EA78CD1"/>
    <w:rsid w:val="7EF73C72"/>
    <w:rsid w:val="7EFDC1D8"/>
    <w:rsid w:val="7EFDF86E"/>
    <w:rsid w:val="7F0F0D8A"/>
    <w:rsid w:val="7F5B1107"/>
    <w:rsid w:val="7F6BFDE6"/>
    <w:rsid w:val="7F6C3A67"/>
    <w:rsid w:val="7F7BC8AF"/>
    <w:rsid w:val="7F7F265F"/>
    <w:rsid w:val="7F7FEDCD"/>
    <w:rsid w:val="7F97CFB5"/>
    <w:rsid w:val="7FB54BD7"/>
    <w:rsid w:val="7FB7B696"/>
    <w:rsid w:val="7FBF4386"/>
    <w:rsid w:val="7FCF539C"/>
    <w:rsid w:val="7FDD7275"/>
    <w:rsid w:val="7FDF9EB0"/>
    <w:rsid w:val="7FEDF336"/>
    <w:rsid w:val="7FF13D44"/>
    <w:rsid w:val="7FF9C4FA"/>
    <w:rsid w:val="7FFF1E40"/>
    <w:rsid w:val="7FFFBE66"/>
    <w:rsid w:val="7FFFC245"/>
    <w:rsid w:val="85AA4185"/>
    <w:rsid w:val="8AFE149A"/>
    <w:rsid w:val="8FFBD3AF"/>
    <w:rsid w:val="99ABAF15"/>
    <w:rsid w:val="9B6E9064"/>
    <w:rsid w:val="9BDB549F"/>
    <w:rsid w:val="9DBBAFDC"/>
    <w:rsid w:val="9EF3B854"/>
    <w:rsid w:val="9F5D8B84"/>
    <w:rsid w:val="9F6F9A0C"/>
    <w:rsid w:val="9F8FB4F6"/>
    <w:rsid w:val="9FEF4F5A"/>
    <w:rsid w:val="9FF650CC"/>
    <w:rsid w:val="A3BE068B"/>
    <w:rsid w:val="A8EE2219"/>
    <w:rsid w:val="AAEFDD96"/>
    <w:rsid w:val="AC9F11D8"/>
    <w:rsid w:val="AD9DFDDC"/>
    <w:rsid w:val="B3BD97B3"/>
    <w:rsid w:val="B3DA9B38"/>
    <w:rsid w:val="B3FC3301"/>
    <w:rsid w:val="B676F748"/>
    <w:rsid w:val="B6A94240"/>
    <w:rsid w:val="B73B306E"/>
    <w:rsid w:val="B7E29F9B"/>
    <w:rsid w:val="B7E9AD9B"/>
    <w:rsid w:val="BA73BD10"/>
    <w:rsid w:val="BB7F3301"/>
    <w:rsid w:val="BBBF6991"/>
    <w:rsid w:val="BDDBF1E3"/>
    <w:rsid w:val="BF367358"/>
    <w:rsid w:val="BFBBDC37"/>
    <w:rsid w:val="BFD5C83F"/>
    <w:rsid w:val="BFDDB3F5"/>
    <w:rsid w:val="BFE713A1"/>
    <w:rsid w:val="BFFFBA99"/>
    <w:rsid w:val="C656512A"/>
    <w:rsid w:val="CC7EB189"/>
    <w:rsid w:val="CDCF44CB"/>
    <w:rsid w:val="CE734456"/>
    <w:rsid w:val="CF7F08DC"/>
    <w:rsid w:val="D6F3B8FB"/>
    <w:rsid w:val="D7FB86E6"/>
    <w:rsid w:val="D9942E0B"/>
    <w:rsid w:val="D9FBDFAB"/>
    <w:rsid w:val="DAE70C75"/>
    <w:rsid w:val="DD3F650F"/>
    <w:rsid w:val="DDBE0CAA"/>
    <w:rsid w:val="DEDFBB41"/>
    <w:rsid w:val="DF77BFEE"/>
    <w:rsid w:val="DF7ECBDC"/>
    <w:rsid w:val="DFAF1898"/>
    <w:rsid w:val="DFB70CF1"/>
    <w:rsid w:val="DFBFAE46"/>
    <w:rsid w:val="DFFD2600"/>
    <w:rsid w:val="DFFF457C"/>
    <w:rsid w:val="E7FBC654"/>
    <w:rsid w:val="E7FF1BE2"/>
    <w:rsid w:val="E9AA0C61"/>
    <w:rsid w:val="EAF7BFB4"/>
    <w:rsid w:val="EB4E057F"/>
    <w:rsid w:val="EB959CE9"/>
    <w:rsid w:val="EDCFCE94"/>
    <w:rsid w:val="EEDF55C4"/>
    <w:rsid w:val="EF7E8D30"/>
    <w:rsid w:val="EF9A005D"/>
    <w:rsid w:val="EF9FF2C7"/>
    <w:rsid w:val="EFB12FEB"/>
    <w:rsid w:val="EFBFA314"/>
    <w:rsid w:val="EFE7D9E7"/>
    <w:rsid w:val="EFF3BFAB"/>
    <w:rsid w:val="EFFBED74"/>
    <w:rsid w:val="F29BA906"/>
    <w:rsid w:val="F2EB2E78"/>
    <w:rsid w:val="F2FE7587"/>
    <w:rsid w:val="F36F0840"/>
    <w:rsid w:val="F3BE25D8"/>
    <w:rsid w:val="F57C8B08"/>
    <w:rsid w:val="F672C487"/>
    <w:rsid w:val="F6EAAF02"/>
    <w:rsid w:val="F76D7BEC"/>
    <w:rsid w:val="F77D7F3E"/>
    <w:rsid w:val="F77F9BD9"/>
    <w:rsid w:val="F7CADC01"/>
    <w:rsid w:val="F8D17054"/>
    <w:rsid w:val="F92C3605"/>
    <w:rsid w:val="FA3B313E"/>
    <w:rsid w:val="FA6BEC86"/>
    <w:rsid w:val="FAD7D803"/>
    <w:rsid w:val="FADFA995"/>
    <w:rsid w:val="FB38DA43"/>
    <w:rsid w:val="FB5DB3C6"/>
    <w:rsid w:val="FBE743B3"/>
    <w:rsid w:val="FBEFC6A2"/>
    <w:rsid w:val="FBFD5576"/>
    <w:rsid w:val="FBFFA07B"/>
    <w:rsid w:val="FCD7C8F3"/>
    <w:rsid w:val="FCFF1D35"/>
    <w:rsid w:val="FCFFEB0A"/>
    <w:rsid w:val="FD3FCCC2"/>
    <w:rsid w:val="FDFF8EC6"/>
    <w:rsid w:val="FE3A0CCD"/>
    <w:rsid w:val="FE4CA8D3"/>
    <w:rsid w:val="FEA724CC"/>
    <w:rsid w:val="FECD749B"/>
    <w:rsid w:val="FEDAC6E9"/>
    <w:rsid w:val="FEF3A5F7"/>
    <w:rsid w:val="FEF9E408"/>
    <w:rsid w:val="FEFF0802"/>
    <w:rsid w:val="FF2FA21A"/>
    <w:rsid w:val="FF5B8D50"/>
    <w:rsid w:val="FF6BD29A"/>
    <w:rsid w:val="FF7E4154"/>
    <w:rsid w:val="FF7F31F4"/>
    <w:rsid w:val="FF8F6CC3"/>
    <w:rsid w:val="FFAFC12F"/>
    <w:rsid w:val="FFB7E73E"/>
    <w:rsid w:val="FFD627FF"/>
    <w:rsid w:val="FFDD1D1E"/>
    <w:rsid w:val="FFDEF24D"/>
    <w:rsid w:val="FFDF9E16"/>
    <w:rsid w:val="FFEB4942"/>
    <w:rsid w:val="FFF3E74F"/>
    <w:rsid w:val="FFFC93A6"/>
    <w:rsid w:val="FFFCBD48"/>
    <w:rsid w:val="FFFF2498"/>
    <w:rsid w:val="FFFF4FA5"/>
    <w:rsid w:val="FFFFA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3452</Words>
  <Characters>3562</Characters>
  <Lines>24</Lines>
  <Paragraphs>6</Paragraphs>
  <TotalTime>13</TotalTime>
  <ScaleCrop>false</ScaleCrop>
  <LinksUpToDate>false</LinksUpToDate>
  <CharactersWithSpaces>3572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2025-05-08T14:21:00Z</dcterms:created>
  <dc:creator>LU SHIWEN</dc:creator>
  <cp:lastModifiedBy>Annis</cp:lastModifiedBy>
  <dcterms:modified xsi:type="dcterms:W3CDTF">2025-05-09T02:02:36Z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21A50E343E344155ADFBBA761F3494B0_13</vt:lpwstr>
  </property>
  <property fmtid="{D5CDD505-2E9C-101B-9397-08002B2CF9AE}" pid="4" name="KSOTemplateDocerSaveRecord">
    <vt:lpwstr>eyJoZGlkIjoiZjUyZmM1YTliM2YzYTRkYzg4MjQ1ODExZDQxNzc4OGYiLCJ1c2VySWQiOiI2NDE3NjcyNTAifQ==</vt:lpwstr>
  </property>
</Properties>
</file>